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69" w:rsidRDefault="00BF5806">
      <w:pPr>
        <w:pStyle w:val="Standard"/>
        <w:widowControl w:val="0"/>
        <w:tabs>
          <w:tab w:val="center" w:pos="5653"/>
        </w:tabs>
        <w:ind w:left="480" w:hanging="54"/>
        <w:jc w:val="both"/>
      </w:pPr>
      <w:r>
        <w:rPr>
          <w:sz w:val="24"/>
        </w:rPr>
        <w:t xml:space="preserve">                                   </w:t>
      </w:r>
      <w:r w:rsidR="00134B20">
        <w:rPr>
          <w:sz w:val="24"/>
        </w:rPr>
        <w:t xml:space="preserve">                               </w:t>
      </w:r>
      <w:r>
        <w:rPr>
          <w:noProof/>
          <w:sz w:val="24"/>
          <w:lang w:eastAsia="ru-RU"/>
        </w:rPr>
        <w:drawing>
          <wp:inline distT="0" distB="0" distL="0" distR="0">
            <wp:extent cx="617760" cy="1025639"/>
            <wp:effectExtent l="0" t="0" r="0" b="3061"/>
            <wp:docPr id="2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760" cy="1025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57B69" w:rsidRDefault="00857B69">
      <w:pPr>
        <w:pStyle w:val="Standard"/>
        <w:widowControl w:val="0"/>
        <w:tabs>
          <w:tab w:val="left" w:pos="7410"/>
        </w:tabs>
        <w:ind w:left="480" w:hanging="54"/>
        <w:jc w:val="center"/>
        <w:rPr>
          <w:sz w:val="24"/>
        </w:rPr>
      </w:pPr>
    </w:p>
    <w:p w:rsidR="00857B69" w:rsidRDefault="00BF5806">
      <w:pPr>
        <w:pStyle w:val="Standard"/>
        <w:widowControl w:val="0"/>
        <w:ind w:left="480"/>
        <w:jc w:val="center"/>
      </w:pPr>
      <w:r>
        <w:rPr>
          <w:b/>
          <w:sz w:val="28"/>
          <w:szCs w:val="28"/>
        </w:rPr>
        <w:t>ПОЧИНКОВСКИЙ ОКРУЖНОЙ СОВЕТ ДЕПУТАТОВ</w:t>
      </w:r>
    </w:p>
    <w:p w:rsidR="00857B69" w:rsidRDefault="00857B69">
      <w:pPr>
        <w:pStyle w:val="Standard"/>
        <w:widowControl w:val="0"/>
        <w:ind w:left="480" w:hanging="54"/>
        <w:jc w:val="center"/>
        <w:rPr>
          <w:b/>
          <w:sz w:val="24"/>
          <w:szCs w:val="28"/>
        </w:rPr>
      </w:pPr>
    </w:p>
    <w:p w:rsidR="00857B69" w:rsidRDefault="00BF5806">
      <w:pPr>
        <w:pStyle w:val="Standard"/>
        <w:spacing w:line="276" w:lineRule="auto"/>
        <w:ind w:firstLine="709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                            </w:t>
      </w:r>
      <w:proofErr w:type="gramStart"/>
      <w:r>
        <w:rPr>
          <w:b/>
          <w:sz w:val="28"/>
          <w:szCs w:val="24"/>
        </w:rPr>
        <w:t>Р</w:t>
      </w:r>
      <w:proofErr w:type="gramEnd"/>
      <w:r>
        <w:rPr>
          <w:b/>
          <w:sz w:val="28"/>
          <w:szCs w:val="24"/>
        </w:rPr>
        <w:t xml:space="preserve"> Е Ш Е Н И Е</w:t>
      </w:r>
    </w:p>
    <w:p w:rsidR="00857B69" w:rsidRDefault="00857B69">
      <w:pPr>
        <w:pStyle w:val="Standard"/>
        <w:spacing w:line="360" w:lineRule="auto"/>
        <w:rPr>
          <w:b/>
          <w:sz w:val="16"/>
          <w:szCs w:val="16"/>
        </w:rPr>
      </w:pPr>
    </w:p>
    <w:p w:rsidR="006B55F5" w:rsidRPr="006B55F5" w:rsidRDefault="006B55F5" w:rsidP="006B55F5">
      <w:pPr>
        <w:widowControl/>
        <w:autoSpaceDN/>
        <w:ind w:right="5668"/>
        <w:jc w:val="both"/>
        <w:textAlignment w:val="auto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6B55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от    </w:t>
      </w:r>
      <w:r w:rsidR="00943D3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29.04.2026</w:t>
      </w:r>
      <w:r w:rsidRPr="006B55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 № </w:t>
      </w:r>
      <w:r w:rsidR="00943D34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  <w:t>40</w:t>
      </w:r>
      <w:bookmarkStart w:id="0" w:name="_GoBack"/>
      <w:bookmarkEnd w:id="0"/>
    </w:p>
    <w:p w:rsidR="00857B69" w:rsidRDefault="00857B69">
      <w:pPr>
        <w:pStyle w:val="Textbody"/>
        <w:jc w:val="center"/>
        <w:rPr>
          <w:sz w:val="28"/>
          <w:szCs w:val="24"/>
        </w:rPr>
      </w:pPr>
    </w:p>
    <w:p w:rsidR="00857B69" w:rsidRDefault="00BF5806">
      <w:pPr>
        <w:pStyle w:val="Standard"/>
        <w:tabs>
          <w:tab w:val="left" w:pos="4253"/>
        </w:tabs>
        <w:ind w:right="5669"/>
        <w:jc w:val="both"/>
        <w:rPr>
          <w:bCs/>
          <w:sz w:val="28"/>
        </w:rPr>
      </w:pPr>
      <w:r>
        <w:rPr>
          <w:bCs/>
          <w:sz w:val="28"/>
        </w:rPr>
        <w:t xml:space="preserve">О внесении изменений в решение </w:t>
      </w:r>
      <w:proofErr w:type="spellStart"/>
      <w:r>
        <w:rPr>
          <w:bCs/>
          <w:sz w:val="28"/>
        </w:rPr>
        <w:t>Починковского</w:t>
      </w:r>
      <w:proofErr w:type="spellEnd"/>
      <w:r>
        <w:rPr>
          <w:bCs/>
          <w:sz w:val="28"/>
        </w:rPr>
        <w:t xml:space="preserve"> окружного Совета депутатов  от 29.01.2025 № 5</w:t>
      </w:r>
    </w:p>
    <w:p w:rsidR="00857B69" w:rsidRDefault="00857B69">
      <w:pPr>
        <w:pStyle w:val="Standard"/>
        <w:rPr>
          <w:bCs/>
          <w:sz w:val="28"/>
        </w:rPr>
      </w:pPr>
    </w:p>
    <w:p w:rsidR="00857B69" w:rsidRDefault="00BF5806">
      <w:pPr>
        <w:pStyle w:val="Standard"/>
        <w:jc w:val="both"/>
        <w:rPr>
          <w:sz w:val="28"/>
        </w:rPr>
      </w:pPr>
      <w:r>
        <w:rPr>
          <w:sz w:val="28"/>
        </w:rPr>
        <w:t xml:space="preserve">    </w:t>
      </w:r>
    </w:p>
    <w:p w:rsidR="00857B69" w:rsidRDefault="00BF5806">
      <w:pPr>
        <w:pStyle w:val="Standard"/>
        <w:spacing w:line="100" w:lineRule="atLeast"/>
        <w:ind w:firstLine="720"/>
        <w:jc w:val="both"/>
      </w:pPr>
      <w:r>
        <w:rPr>
          <w:rStyle w:val="ab"/>
          <w:i w:val="0"/>
          <w:sz w:val="28"/>
          <w:szCs w:val="28"/>
        </w:rPr>
        <w:t xml:space="preserve">В соответствии с Федеральным законом от 31 июля 2020 года № 248-ФЗ                        «О государственном контроле (надзоре) и муниципальном контроле в Российской Федерации»  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окружной Совет депутатов</w:t>
      </w:r>
    </w:p>
    <w:p w:rsidR="00857B69" w:rsidRDefault="00857B69">
      <w:pPr>
        <w:pStyle w:val="Standard"/>
        <w:ind w:firstLine="851"/>
        <w:jc w:val="both"/>
        <w:rPr>
          <w:sz w:val="28"/>
          <w:szCs w:val="28"/>
        </w:rPr>
      </w:pPr>
    </w:p>
    <w:p w:rsidR="00857B69" w:rsidRDefault="006B55F5">
      <w:pPr>
        <w:pStyle w:val="Standard"/>
        <w:ind w:right="-143"/>
        <w:jc w:val="both"/>
        <w:rPr>
          <w:b/>
          <w:sz w:val="28"/>
          <w:szCs w:val="28"/>
        </w:rPr>
      </w:pPr>
      <w:bookmarkStart w:id="1" w:name="sub_1"/>
      <w:proofErr w:type="gramStart"/>
      <w:r w:rsidRPr="006B55F5">
        <w:rPr>
          <w:rFonts w:hint="eastAsia"/>
          <w:b/>
          <w:sz w:val="28"/>
          <w:szCs w:val="28"/>
        </w:rPr>
        <w:t>Р</w:t>
      </w:r>
      <w:proofErr w:type="gramEnd"/>
      <w:r w:rsidRPr="006B55F5">
        <w:rPr>
          <w:rFonts w:hint="eastAsia"/>
          <w:b/>
          <w:sz w:val="28"/>
          <w:szCs w:val="28"/>
        </w:rPr>
        <w:t xml:space="preserve"> Е Ш И Л:</w:t>
      </w:r>
    </w:p>
    <w:p w:rsidR="00857B69" w:rsidRDefault="00857B69">
      <w:pPr>
        <w:pStyle w:val="Standard"/>
        <w:autoSpaceDE w:val="0"/>
        <w:ind w:firstLine="720"/>
        <w:jc w:val="both"/>
      </w:pPr>
    </w:p>
    <w:bookmarkEnd w:id="1"/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1. Внести в решение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от 29.01.2025 № 5 «Об утверждении Положения о муниципальном земельном контроле на территории муниципального образования «</w:t>
      </w:r>
      <w:proofErr w:type="spellStart"/>
      <w:r>
        <w:rPr>
          <w:bCs/>
          <w:sz w:val="28"/>
          <w:szCs w:val="28"/>
          <w:lang w:eastAsia="ar-SA"/>
        </w:rPr>
        <w:t>Починковский</w:t>
      </w:r>
      <w:proofErr w:type="spellEnd"/>
      <w:r>
        <w:rPr>
          <w:bCs/>
          <w:sz w:val="28"/>
          <w:szCs w:val="28"/>
          <w:lang w:eastAsia="ar-SA"/>
        </w:rPr>
        <w:t xml:space="preserve"> муниципальный округ» Смоленской области» (в редакции решения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от 24.09.2025 № 108) (далее по тексту – Положение) следующие изменения:</w:t>
      </w:r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1) пункт 2.3 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t>«2.3.  Отнесение  земель и земельных участков к определенной категории риска осуществляется контрольным органом  на основе сопоставления их характеристик с утвержденными критериями риска согласно приложению № 1 к настоящему Положению</w:t>
      </w:r>
      <w:r>
        <w:rPr>
          <w:sz w:val="28"/>
          <w:szCs w:val="28"/>
        </w:rPr>
        <w:t>. Объект контроля считается отнесенным к одной из категорий риска после внесения сведений о нем в единый реестр видов контроля.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При отнесении Администрацией земель и земельных участков к категориям риска используются в том числе: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1) сведения, содержащиеся в Едином государственном реестре недвижимости;</w:t>
      </w:r>
    </w:p>
    <w:p w:rsidR="00857B69" w:rsidRDefault="00BF5806">
      <w:pPr>
        <w:pStyle w:val="Standard"/>
        <w:ind w:firstLine="708"/>
        <w:jc w:val="both"/>
      </w:pPr>
      <w:r>
        <w:rPr>
          <w:sz w:val="28"/>
        </w:rPr>
        <w:t>2) сведения, получаемые при проведении должностными лицами, уполномоченными осуществлять муниципальный земельный контроль, контрольных мероприятий без взаимодействия с контролируемыми лицами</w:t>
      </w:r>
      <w:proofErr w:type="gramStart"/>
      <w:r>
        <w:rPr>
          <w:sz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</w:pPr>
      <w:r>
        <w:rPr>
          <w:rFonts w:cs="Arial"/>
          <w:bCs/>
          <w:color w:val="000000"/>
          <w:sz w:val="28"/>
          <w:szCs w:val="28"/>
          <w:lang w:eastAsia="ar-SA"/>
        </w:rPr>
        <w:t>2) пункт 3.4.1</w:t>
      </w:r>
      <w:r w:rsidR="006B55F5"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bCs/>
          <w:color w:val="000000"/>
          <w:sz w:val="28"/>
          <w:szCs w:val="28"/>
          <w:lang w:eastAsia="ar-SA"/>
        </w:rPr>
        <w:t>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rFonts w:cs="Arial"/>
          <w:color w:val="000000"/>
          <w:sz w:val="28"/>
          <w:szCs w:val="28"/>
        </w:rPr>
        <w:t xml:space="preserve">«3.4.1. </w:t>
      </w: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</w:t>
      </w:r>
      <w:r>
        <w:rPr>
          <w:color w:val="000000"/>
          <w:sz w:val="28"/>
          <w:szCs w:val="28"/>
        </w:rPr>
        <w:t xml:space="preserve"> частью 5 статьи 21 </w:t>
      </w:r>
      <w:r>
        <w:rPr>
          <w:rFonts w:cs="Arial"/>
          <w:color w:val="000000"/>
          <w:sz w:val="28"/>
          <w:szCs w:val="28"/>
          <w:lang w:eastAsia="ar-SA"/>
        </w:rPr>
        <w:t xml:space="preserve">Федерального закона от </w:t>
      </w:r>
      <w:r>
        <w:rPr>
          <w:rFonts w:cs="Arial"/>
          <w:color w:val="000000"/>
          <w:sz w:val="28"/>
          <w:szCs w:val="28"/>
          <w:lang w:eastAsia="ar-SA"/>
        </w:rPr>
        <w:lastRenderedPageBreak/>
        <w:t>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.»;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 3</w:t>
      </w:r>
      <w:r>
        <w:rPr>
          <w:rFonts w:cs="Arial"/>
          <w:bCs/>
          <w:sz w:val="28"/>
          <w:szCs w:val="28"/>
          <w:lang w:eastAsia="ar-SA"/>
        </w:rPr>
        <w:t>) пункт 3.4.2</w:t>
      </w:r>
      <w:r w:rsidR="006B55F5">
        <w:rPr>
          <w:rFonts w:cs="Arial"/>
          <w:bCs/>
          <w:sz w:val="28"/>
          <w:szCs w:val="28"/>
          <w:lang w:eastAsia="ar-SA"/>
        </w:rPr>
        <w:t xml:space="preserve"> </w:t>
      </w:r>
      <w:r>
        <w:rPr>
          <w:rFonts w:cs="Arial"/>
          <w:bCs/>
          <w:sz w:val="28"/>
          <w:szCs w:val="28"/>
          <w:lang w:eastAsia="ar-SA"/>
        </w:rPr>
        <w:t xml:space="preserve"> дополнить абзацем 10 следующего содержания: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</w:t>
      </w:r>
      <w:r>
        <w:rPr>
          <w:rFonts w:cs="Arial"/>
          <w:bCs/>
          <w:sz w:val="28"/>
          <w:szCs w:val="28"/>
          <w:lang w:eastAsia="ar-SA"/>
        </w:rPr>
        <w:t>«</w:t>
      </w:r>
      <w:r>
        <w:rPr>
          <w:rFonts w:cs="Arial"/>
          <w:bCs/>
          <w:color w:val="000000"/>
          <w:sz w:val="28"/>
          <w:szCs w:val="28"/>
          <w:lang w:eastAsia="ar-SA"/>
        </w:rPr>
        <w:t>Обязательный профилактический визит проводится не более одного раза в год</w:t>
      </w:r>
      <w:proofErr w:type="gramStart"/>
      <w:r>
        <w:rPr>
          <w:rFonts w:cs="Arial"/>
          <w:bCs/>
          <w:color w:val="000000"/>
          <w:sz w:val="28"/>
          <w:szCs w:val="28"/>
          <w:lang w:eastAsia="ar-SA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4)  абзац 4 пункта 3.4.4 дополнить подпунктом 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«5)  контролируемое лицо не соответствует критериям, предусмотренным абзацем 1 настоящего пункта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  5) дополнить пунктом 3.4.5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t>«</w:t>
      </w:r>
      <w:r>
        <w:rPr>
          <w:bCs/>
          <w:color w:val="000000"/>
          <w:sz w:val="28"/>
          <w:szCs w:val="28"/>
          <w:lang w:eastAsia="ar-SA"/>
        </w:rPr>
        <w:t xml:space="preserve">3.4.5. </w:t>
      </w:r>
      <w:proofErr w:type="gramStart"/>
      <w:r>
        <w:rPr>
          <w:color w:val="000000"/>
          <w:sz w:val="28"/>
          <w:szCs w:val="28"/>
        </w:rPr>
        <w:t>В случае наличия у контрольного 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>
        <w:rPr>
          <w:color w:val="000000"/>
          <w:sz w:val="28"/>
          <w:szCs w:val="28"/>
        </w:rPr>
        <w:t xml:space="preserve"> по обеспечению соблюдения обязательных требований.</w:t>
      </w:r>
    </w:p>
    <w:p w:rsidR="00857B69" w:rsidRDefault="00BF5806">
      <w:pPr>
        <w:pStyle w:val="Standard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объявляется и направляется контролируемому лицу в порядке, предусмотренном </w:t>
      </w:r>
      <w:r>
        <w:rPr>
          <w:rFonts w:cs="Arial"/>
          <w:color w:val="000000"/>
          <w:sz w:val="28"/>
          <w:szCs w:val="28"/>
          <w:lang w:eastAsia="ar-SA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</w:t>
      </w:r>
      <w:proofErr w:type="gramEnd"/>
      <w:r>
        <w:rPr>
          <w:color w:val="000000"/>
          <w:sz w:val="28"/>
          <w:szCs w:val="28"/>
        </w:rPr>
        <w:t xml:space="preserve">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контрольный  орган возражение в отношении указанного предостережения, в том числе посредством </w:t>
      </w:r>
      <w:r>
        <w:rPr>
          <w:sz w:val="28"/>
          <w:szCs w:val="28"/>
        </w:rPr>
        <w:t>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и (или) через региональный портал государственных и муниципальных услуг.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(надзорных) мероприятий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6) дополнить пунктом 3.4.6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bCs/>
          <w:sz w:val="28"/>
          <w:szCs w:val="28"/>
          <w:lang w:eastAsia="ar-SA"/>
        </w:rPr>
        <w:t xml:space="preserve">«3.4.6. </w:t>
      </w:r>
      <w:r>
        <w:rPr>
          <w:sz w:val="28"/>
          <w:szCs w:val="28"/>
        </w:rPr>
        <w:t xml:space="preserve"> В возражении указываются: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а)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физического лица, наименование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lastRenderedPageBreak/>
        <w:t>юридического лица,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индивидуального предпринимателя;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б) идентификационный номер налогоплательщика -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в) дата и номер предостережения, направленного в адрес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г) обоснование позиции в отношении указанных в предостережении действий (бездействия)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, которые приводят или могут привести к нарушению обязательных требований, требований, установленных настоящим Положением.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направляются к</w:t>
      </w:r>
      <w:r>
        <w:rPr>
          <w:color w:val="000000"/>
          <w:sz w:val="28"/>
          <w:szCs w:val="28"/>
        </w:rPr>
        <w:t>онтролируемым лицом одним из следующих способов направления: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в бумажном виде почтовым отправлением в адрес </w:t>
      </w:r>
      <w:r>
        <w:rPr>
          <w:bCs/>
          <w:sz w:val="28"/>
          <w:szCs w:val="28"/>
          <w:lang w:eastAsia="ar-SA"/>
        </w:rPr>
        <w:t>контрольного органа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</w:t>
      </w:r>
      <w:r>
        <w:rPr>
          <w:bCs/>
          <w:sz w:val="28"/>
          <w:szCs w:val="28"/>
          <w:lang w:eastAsia="ar-SA"/>
        </w:rPr>
        <w:t>контрольного органа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</w:pPr>
      <w:r>
        <w:rPr>
          <w:bCs/>
          <w:sz w:val="28"/>
          <w:szCs w:val="28"/>
          <w:lang w:eastAsia="ar-SA"/>
        </w:rPr>
        <w:t xml:space="preserve">Контрольный орган </w:t>
      </w:r>
      <w:r>
        <w:rPr>
          <w:sz w:val="28"/>
          <w:szCs w:val="28"/>
        </w:rPr>
        <w:t xml:space="preserve"> рассматривает возражения, по итогам рассмотрения направляет к</w:t>
      </w:r>
      <w:r>
        <w:rPr>
          <w:color w:val="000000"/>
          <w:sz w:val="28"/>
          <w:szCs w:val="28"/>
        </w:rPr>
        <w:t>онтролируемому лицу</w:t>
      </w:r>
      <w:r>
        <w:rPr>
          <w:sz w:val="28"/>
          <w:szCs w:val="28"/>
        </w:rPr>
        <w:t xml:space="preserve"> в течение 20 рабочих дней со дня получения возражений ответ </w:t>
      </w:r>
      <w:r>
        <w:rPr>
          <w:color w:val="000000"/>
          <w:sz w:val="28"/>
          <w:szCs w:val="28"/>
        </w:rPr>
        <w:t>одним из следующих способов направления, в зависимости от способа направления возражения контролируемым лицом: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в бумажном виде почтовым отправлением в адрес </w:t>
      </w:r>
      <w:r>
        <w:rPr>
          <w:bCs/>
          <w:sz w:val="28"/>
          <w:szCs w:val="28"/>
          <w:lang w:eastAsia="ar-SA"/>
        </w:rPr>
        <w:t>контролируемого лиц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документа, подписанного усиленной квалифицированной электронной подписью должностного лица контрольного органа</w:t>
      </w:r>
      <w:r>
        <w:rPr>
          <w:b/>
          <w:bCs/>
          <w:sz w:val="28"/>
          <w:szCs w:val="28"/>
        </w:rPr>
        <w:t xml:space="preserve">, </w:t>
      </w:r>
      <w:r>
        <w:rPr>
          <w:sz w:val="28"/>
          <w:szCs w:val="28"/>
        </w:rPr>
        <w:t>на указанный в возражении адрес электронной почты контролируемого лица;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либо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Результаты рассмотрения возражений используются контрольным органом для целей организации и проведения мероприятий по профилактике нарушения обязательных требований и требований, установленных настоящим Положением, совершенствования применения </w:t>
      </w:r>
      <w:proofErr w:type="gramStart"/>
      <w:r>
        <w:rPr>
          <w:sz w:val="28"/>
          <w:szCs w:val="28"/>
        </w:rPr>
        <w:t>риск-ориентированного</w:t>
      </w:r>
      <w:proofErr w:type="gramEnd"/>
      <w:r>
        <w:rPr>
          <w:sz w:val="28"/>
          <w:szCs w:val="28"/>
        </w:rPr>
        <w:t xml:space="preserve"> подхода при организации муниципального земельного контроля.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При отсутствии возражений контролируемое лицо обязано исполнить  предостережение, уведомив об исполнении контрольный орган.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уведомлении об исполнении предостережения указываются: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физического лица, наименование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юридического лица,   фамилия, имя, отчество (при наличии) к</w:t>
      </w:r>
      <w:r>
        <w:rPr>
          <w:color w:val="000000"/>
          <w:sz w:val="28"/>
          <w:szCs w:val="28"/>
        </w:rPr>
        <w:t xml:space="preserve">онтролируемого лица в отношении </w:t>
      </w:r>
      <w:r>
        <w:rPr>
          <w:sz w:val="28"/>
          <w:szCs w:val="28"/>
        </w:rPr>
        <w:t>индивидуального предпринимателя;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идентификационный номер налогоплательщика —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082B13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дата и номер предостережения, направленного в адрес к</w:t>
      </w:r>
      <w:r>
        <w:rPr>
          <w:color w:val="000000"/>
          <w:sz w:val="28"/>
          <w:szCs w:val="28"/>
        </w:rPr>
        <w:t>онтролируемого лица</w:t>
      </w:r>
      <w:r>
        <w:rPr>
          <w:sz w:val="28"/>
          <w:szCs w:val="28"/>
        </w:rPr>
        <w:t>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сведения о принятых по результатам рассмотрения предостережения мерах по обеспечению соблюдения обязательных требований, требований, установленных муниципальными правовыми актами.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Уведомление направляется любым из перечисленных способов: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бумажном виде почтовым отправлением в адрес контрольного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указанный в предостережении адрес электронной почты  контрольного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либо </w:t>
      </w:r>
      <w:r>
        <w:rPr>
          <w:color w:val="000000"/>
          <w:sz w:val="28"/>
          <w:szCs w:val="28"/>
        </w:rPr>
        <w:t xml:space="preserve"> посредством единого портала государственных и муниципальных услуг или регионального портала государственных и муниципальных услуг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Контрольный орган использует уведомление для целей организации и проведения мероприятий по профилактике нарушения обязательных требований и требований, установленных настоящим Положением, совершенствованию применения </w:t>
      </w:r>
      <w:proofErr w:type="gramStart"/>
      <w:r>
        <w:rPr>
          <w:sz w:val="28"/>
          <w:szCs w:val="28"/>
        </w:rPr>
        <w:t>риск-ориентированного</w:t>
      </w:r>
      <w:proofErr w:type="gramEnd"/>
      <w:r>
        <w:rPr>
          <w:sz w:val="28"/>
          <w:szCs w:val="28"/>
        </w:rPr>
        <w:t xml:space="preserve"> подхода при организации муниципального земельного контроля на территории муниципального образования «</w:t>
      </w:r>
      <w:proofErr w:type="spellStart"/>
      <w:r>
        <w:rPr>
          <w:sz w:val="28"/>
          <w:szCs w:val="28"/>
        </w:rPr>
        <w:t>Починковский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области.»;</w:t>
      </w:r>
    </w:p>
    <w:p w:rsidR="00857B69" w:rsidRDefault="00BF5806">
      <w:pPr>
        <w:pStyle w:val="Standard"/>
        <w:autoSpaceDE w:val="0"/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7) дополнить пунктом 3.5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«3.5. </w:t>
      </w:r>
      <w:r>
        <w:rPr>
          <w:sz w:val="28"/>
          <w:szCs w:val="28"/>
        </w:rPr>
        <w:t>Решения о проведении профилактического визита, об объявлении предостережения, акты (в том числе акты о невозможности проведения) 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cs="Arial"/>
          <w:bCs/>
          <w:color w:val="000000"/>
          <w:sz w:val="28"/>
          <w:szCs w:val="28"/>
          <w:lang w:eastAsia="ar-SA"/>
        </w:rPr>
        <w:t>.»;</w:t>
      </w:r>
      <w:proofErr w:type="gramEnd"/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пункт 4.9.3 изложить в следующей редакции:</w:t>
      </w:r>
    </w:p>
    <w:p w:rsidR="00857B69" w:rsidRDefault="00BF5806">
      <w:pPr>
        <w:pStyle w:val="Standard"/>
        <w:autoSpaceDE w:val="0"/>
        <w:ind w:firstLine="709"/>
        <w:jc w:val="both"/>
      </w:pPr>
      <w:r>
        <w:rPr>
          <w:sz w:val="28"/>
          <w:szCs w:val="28"/>
        </w:rPr>
        <w:t>«4.9.3. 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получение письменных объяснений;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истребование документов;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экспертиза</w:t>
      </w:r>
      <w:proofErr w:type="gramStart"/>
      <w:r>
        <w:rPr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>9) дополнить пунктом 4.16 следующего содержания:</w:t>
      </w:r>
    </w:p>
    <w:p w:rsidR="00857B69" w:rsidRDefault="00BF5806">
      <w:pPr>
        <w:pStyle w:val="Standard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«4.16. </w:t>
      </w:r>
      <w:proofErr w:type="gramStart"/>
      <w:r>
        <w:rPr>
          <w:sz w:val="28"/>
          <w:szCs w:val="28"/>
        </w:rPr>
        <w:t>Решения 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контрольного (надзорного)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>10) раздел 6 изложить в следующей редакции: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b/>
          <w:color w:val="000000"/>
          <w:sz w:val="28"/>
          <w:szCs w:val="28"/>
          <w:lang w:eastAsia="ar-SA"/>
        </w:rPr>
      </w:pPr>
      <w:r>
        <w:rPr>
          <w:rFonts w:cs="Arial"/>
          <w:bCs/>
          <w:sz w:val="28"/>
          <w:szCs w:val="28"/>
          <w:lang w:eastAsia="ar-SA"/>
        </w:rPr>
        <w:t>«</w:t>
      </w:r>
      <w:r w:rsidRPr="002953DB">
        <w:rPr>
          <w:rFonts w:cs="Arial"/>
          <w:b/>
          <w:bCs/>
          <w:sz w:val="28"/>
          <w:szCs w:val="28"/>
          <w:lang w:eastAsia="ar-SA"/>
        </w:rPr>
        <w:t>6.</w:t>
      </w:r>
      <w:r w:rsidRPr="002953DB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2953DB">
        <w:rPr>
          <w:b/>
          <w:color w:val="000000"/>
          <w:sz w:val="28"/>
          <w:szCs w:val="28"/>
          <w:lang w:eastAsia="ar-SA"/>
        </w:rPr>
        <w:t>Обжалование решений Администрации, действий (бездействия) должностных лиц, уполномоченных осуществлять муниципальный земельный контроль</w:t>
      </w:r>
    </w:p>
    <w:p w:rsidR="002953DB" w:rsidRPr="002953DB" w:rsidRDefault="002953DB">
      <w:pPr>
        <w:pStyle w:val="Standard"/>
        <w:autoSpaceDE w:val="0"/>
        <w:spacing w:line="100" w:lineRule="atLeast"/>
        <w:ind w:firstLine="709"/>
        <w:jc w:val="both"/>
        <w:rPr>
          <w:rFonts w:cs="Arial"/>
          <w:b/>
          <w:bCs/>
          <w:sz w:val="28"/>
          <w:szCs w:val="28"/>
          <w:lang w:eastAsia="ar-SA"/>
        </w:rPr>
      </w:pP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  <w:lang w:eastAsia="ar-SA"/>
        </w:rPr>
        <w:t xml:space="preserve">6.1. Досудебный порядок подачи жалоб при осуществлении муниципального земельного контроля на территории муниципального образования </w:t>
      </w:r>
      <w:r>
        <w:rPr>
          <w:rFonts w:cs="Arial"/>
          <w:bCs/>
          <w:color w:val="000000"/>
          <w:sz w:val="28"/>
          <w:szCs w:val="28"/>
          <w:lang w:eastAsia="ar-SA"/>
        </w:rPr>
        <w:t>«</w:t>
      </w:r>
      <w:proofErr w:type="spellStart"/>
      <w:r>
        <w:rPr>
          <w:rFonts w:cs="Arial"/>
          <w:bCs/>
          <w:color w:val="000000"/>
          <w:sz w:val="28"/>
          <w:szCs w:val="28"/>
          <w:lang w:eastAsia="ar-SA"/>
        </w:rPr>
        <w:t>Починковский</w:t>
      </w:r>
      <w:proofErr w:type="spellEnd"/>
      <w:r>
        <w:rPr>
          <w:rFonts w:cs="Arial"/>
          <w:bCs/>
          <w:color w:val="000000"/>
          <w:sz w:val="28"/>
          <w:szCs w:val="28"/>
          <w:lang w:eastAsia="ar-SA"/>
        </w:rPr>
        <w:t xml:space="preserve"> муниципальный округ» Смоленской области применяется </w:t>
      </w:r>
      <w:r w:rsidR="00A5722C"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bCs/>
          <w:color w:val="000000"/>
          <w:sz w:val="28"/>
          <w:szCs w:val="28"/>
          <w:lang w:eastAsia="ar-SA"/>
        </w:rPr>
        <w:t xml:space="preserve">в </w:t>
      </w:r>
      <w:r w:rsidR="00A5722C"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bCs/>
          <w:color w:val="000000"/>
          <w:sz w:val="28"/>
          <w:szCs w:val="28"/>
          <w:lang w:eastAsia="ar-SA"/>
        </w:rPr>
        <w:t>соответствии</w:t>
      </w:r>
      <w:r w:rsidR="00A5722C">
        <w:rPr>
          <w:rFonts w:cs="Arial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bCs/>
          <w:color w:val="000000"/>
          <w:sz w:val="28"/>
          <w:szCs w:val="28"/>
          <w:lang w:eastAsia="ar-SA"/>
        </w:rPr>
        <w:t xml:space="preserve"> с</w:t>
      </w:r>
      <w:r>
        <w:rPr>
          <w:rFonts w:cs="Arial"/>
          <w:color w:val="000000"/>
          <w:sz w:val="28"/>
          <w:szCs w:val="28"/>
          <w:lang w:eastAsia="ar-SA"/>
        </w:rPr>
        <w:t xml:space="preserve"> </w:t>
      </w:r>
      <w:r w:rsidR="00A5722C">
        <w:rPr>
          <w:rFonts w:cs="Arial"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sz w:val="28"/>
          <w:szCs w:val="28"/>
          <w:lang w:eastAsia="ar-SA"/>
        </w:rPr>
        <w:t xml:space="preserve"> главой </w:t>
      </w:r>
      <w:r w:rsidR="00A5722C">
        <w:rPr>
          <w:rFonts w:cs="Arial"/>
          <w:sz w:val="28"/>
          <w:szCs w:val="28"/>
          <w:lang w:eastAsia="ar-SA"/>
        </w:rPr>
        <w:t xml:space="preserve"> </w:t>
      </w:r>
      <w:r>
        <w:rPr>
          <w:rFonts w:cs="Arial"/>
          <w:sz w:val="28"/>
          <w:szCs w:val="28"/>
          <w:lang w:eastAsia="ar-SA"/>
        </w:rPr>
        <w:t xml:space="preserve">9 </w:t>
      </w:r>
      <w:r w:rsidR="00A5722C">
        <w:rPr>
          <w:rFonts w:cs="Arial"/>
          <w:sz w:val="28"/>
          <w:szCs w:val="28"/>
          <w:lang w:eastAsia="ar-SA"/>
        </w:rPr>
        <w:t xml:space="preserve"> </w:t>
      </w:r>
      <w:r>
        <w:rPr>
          <w:rFonts w:cs="Arial"/>
          <w:color w:val="000000"/>
          <w:sz w:val="28"/>
          <w:szCs w:val="28"/>
          <w:lang w:eastAsia="ar-SA"/>
        </w:rPr>
        <w:t xml:space="preserve">Федерального </w:t>
      </w:r>
      <w:r w:rsidR="00A5722C">
        <w:rPr>
          <w:rFonts w:cs="Arial"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color w:val="000000"/>
          <w:sz w:val="28"/>
          <w:szCs w:val="28"/>
          <w:lang w:eastAsia="ar-SA"/>
        </w:rPr>
        <w:t>закона</w:t>
      </w:r>
      <w:r w:rsidR="00A5722C">
        <w:rPr>
          <w:rFonts w:cs="Arial"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color w:val="000000"/>
          <w:sz w:val="28"/>
          <w:szCs w:val="28"/>
          <w:lang w:eastAsia="ar-SA"/>
        </w:rPr>
        <w:t xml:space="preserve"> от 31.07.2020 </w:t>
      </w:r>
      <w:r w:rsidR="00A5722C">
        <w:rPr>
          <w:rFonts w:cs="Arial"/>
          <w:color w:val="000000"/>
          <w:sz w:val="28"/>
          <w:szCs w:val="28"/>
          <w:lang w:eastAsia="ar-SA"/>
        </w:rPr>
        <w:t xml:space="preserve"> </w:t>
      </w:r>
      <w:r>
        <w:rPr>
          <w:rFonts w:cs="Arial"/>
          <w:color w:val="000000"/>
          <w:sz w:val="28"/>
          <w:szCs w:val="28"/>
          <w:lang w:eastAsia="ar-SA"/>
        </w:rPr>
        <w:t>№ 248-ФЗ «О государственном контроле (надзоре) и муниципальном контроле в Российской Федерации»</w:t>
      </w:r>
      <w:r>
        <w:rPr>
          <w:rFonts w:cs="Arial"/>
          <w:sz w:val="28"/>
          <w:szCs w:val="28"/>
          <w:lang w:eastAsia="ar-SA"/>
        </w:rPr>
        <w:t>.</w:t>
      </w:r>
    </w:p>
    <w:p w:rsidR="00857B69" w:rsidRDefault="00BF5806">
      <w:pPr>
        <w:pStyle w:val="Standard"/>
        <w:autoSpaceDE w:val="0"/>
        <w:spacing w:line="100" w:lineRule="atLeast"/>
        <w:ind w:firstLine="709"/>
        <w:jc w:val="both"/>
      </w:pPr>
      <w:r>
        <w:rPr>
          <w:rFonts w:cs="Arial"/>
          <w:bCs/>
          <w:sz w:val="28"/>
          <w:szCs w:val="28"/>
          <w:lang w:eastAsia="ar-SA"/>
        </w:rPr>
        <w:t xml:space="preserve">6.2. </w:t>
      </w:r>
      <w:r>
        <w:rPr>
          <w:sz w:val="28"/>
          <w:szCs w:val="28"/>
        </w:rPr>
        <w:t xml:space="preserve">Правом на обжалование решений контрольного (надзорного) органа, действий (бездействия) его должностных лиц обладает контролируемое лицо, в отношении которого приняты решения или совершены действия (бездействие), указанные </w:t>
      </w:r>
      <w:r>
        <w:rPr>
          <w:color w:val="000000"/>
          <w:sz w:val="28"/>
          <w:szCs w:val="28"/>
        </w:rPr>
        <w:t xml:space="preserve">в части 4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6.3. Судебное обжалование решений контрольного (надзорного) органа, действий (бездействия) его должностных </w:t>
      </w:r>
      <w:proofErr w:type="gramStart"/>
      <w:r>
        <w:rPr>
          <w:sz w:val="28"/>
          <w:szCs w:val="28"/>
        </w:rPr>
        <w:t>лиц</w:t>
      </w:r>
      <w:proofErr w:type="gramEnd"/>
      <w:r>
        <w:rPr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6.4.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</w:t>
      </w:r>
      <w:r>
        <w:rPr>
          <w:color w:val="000000"/>
          <w:sz w:val="28"/>
          <w:szCs w:val="28"/>
        </w:rPr>
        <w:t xml:space="preserve"> частью 1.1 </w:t>
      </w:r>
      <w:r>
        <w:rPr>
          <w:sz w:val="28"/>
          <w:szCs w:val="28"/>
        </w:rPr>
        <w:t xml:space="preserve">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6.5. </w:t>
      </w:r>
      <w:proofErr w:type="gramStart"/>
      <w:r>
        <w:rPr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подается контролируемым лицом в администрацию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6.6.</w:t>
      </w:r>
      <w:bookmarkStart w:id="2" w:name="Par19"/>
      <w:bookmarkStart w:id="3" w:name="Par13"/>
      <w:bookmarkStart w:id="4" w:name="Par11"/>
      <w:r>
        <w:rPr>
          <w:sz w:val="28"/>
          <w:szCs w:val="28"/>
        </w:rPr>
        <w:t xml:space="preserve"> Контролируемые лица, права и законные интересы которых, по их мнению, были непосредственно нарушены в рамках осуществления  муниципального земельного контроля, имеют право на досудебное обжалование: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bookmarkStart w:id="5" w:name="Par20"/>
      <w:r>
        <w:rPr>
          <w:sz w:val="28"/>
          <w:szCs w:val="28"/>
        </w:rPr>
        <w:t>1) решений о проведении контрольных (надзорных) мероприятий и обязательных профилактических визитов;</w:t>
      </w:r>
    </w:p>
    <w:p w:rsidR="00857B69" w:rsidRDefault="00BF5806">
      <w:pPr>
        <w:pStyle w:val="Standard"/>
        <w:spacing w:before="29"/>
        <w:ind w:firstLine="540"/>
        <w:jc w:val="both"/>
      </w:pPr>
      <w:bookmarkStart w:id="6" w:name="Par21"/>
      <w:r>
        <w:rPr>
          <w:sz w:val="28"/>
          <w:szCs w:val="28"/>
        </w:rPr>
        <w:t xml:space="preserve">2) актов контрольных (надзорных) мероприятий и обязательных профилактических визитов, предписаний об устранении выявленных нарушений;      </w:t>
      </w:r>
      <w:r>
        <w:rPr>
          <w:sz w:val="28"/>
          <w:szCs w:val="28"/>
        </w:rPr>
        <w:tab/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bookmarkStart w:id="7" w:name="Par25"/>
      <w:r>
        <w:rPr>
          <w:sz w:val="28"/>
          <w:szCs w:val="28"/>
        </w:rPr>
        <w:lastRenderedPageBreak/>
        <w:t>4) решений об отнесении объектов контроля к соответствующей категории риска;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решений об отказе в проведении профилактических визитов по заявлениям контролируемых лиц;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6) иных решений, принимаемых контрольными (надзорными) органами по итогам профилактических и (или) контрольных (надзорных) мероприятий, предусмотренных </w:t>
      </w:r>
      <w:r>
        <w:rPr>
          <w:rFonts w:cs="Arial"/>
          <w:bCs/>
          <w:color w:val="000000"/>
          <w:sz w:val="28"/>
          <w:szCs w:val="28"/>
          <w:lang w:eastAsia="ar-SA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, в отношении контролируемых лиц или объектов контроля.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  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bookmarkStart w:id="8" w:name="Par34"/>
      <w:r>
        <w:rPr>
          <w:sz w:val="28"/>
          <w:szCs w:val="28"/>
        </w:rPr>
        <w:t xml:space="preserve"> 6.8.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  <w:bookmarkStart w:id="9" w:name="Par35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 6.9. Жалоба может содержать ходатайство о приостановлении исполнения обжалуемого решения контрольного (надзорного) органа.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Уполномоченный на рассмотрение жалобы орган в срок не позднее двух рабочих дней со дня регистрации жалобы принимает решение:</w:t>
      </w:r>
      <w:bookmarkStart w:id="10" w:name="Par40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 приостановлении исполнения обжалуемого решения контрольного (надзорного) органа;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об отказе в приостановлении исполнения обжалуемого решения контрольного (надзорного) органа.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 xml:space="preserve"> Информация о </w:t>
      </w:r>
      <w:r>
        <w:rPr>
          <w:color w:val="000000"/>
          <w:sz w:val="28"/>
          <w:szCs w:val="28"/>
        </w:rPr>
        <w:t xml:space="preserve">решении, указанном в части 10 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направляется лицу, подавшему жалобу, в течение одного рабочего дня с мом</w:t>
      </w:r>
      <w:r>
        <w:rPr>
          <w:sz w:val="28"/>
          <w:szCs w:val="28"/>
        </w:rPr>
        <w:t>ента принятия решения.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6.10. Жалоба должна содержать: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лица, подавшего жалобу;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) учетный номер контрольного (надзорного) мероприятия или обязательного профилактического визита в едином реестре контрольных (надзорных) мероприятий, в отношении которых подается жалоба, в случае подачи жалобы по основаниям, предусмотренным пунктами 1  -  3 части 4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законом от 31.07.2020 № 248-ФЗ «О государственном контроле (надзоре) и муниципальном контроле в Российской Федерации»;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6.11.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тентификации».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6.12.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rPr>
          <w:sz w:val="28"/>
          <w:szCs w:val="28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>
        <w:rPr>
          <w:sz w:val="28"/>
          <w:szCs w:val="28"/>
        </w:rPr>
        <w:t xml:space="preserve"> уполномоченным органом лицу, подавшему жалобу, в течение одного рабочего дня с момента принятия решения по жалобе.  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6.13. 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) жалоба подана после истечения сроков подачи жалобы, установленных частями 5 и 6 статьи 40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и н</w:t>
      </w:r>
      <w:r>
        <w:rPr>
          <w:sz w:val="28"/>
          <w:szCs w:val="28"/>
        </w:rPr>
        <w:t>е содержит ходатайства о восстановлении пропущенного срока на подачу жалобы;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ходатайства о восстановлении пропущенного срока на подачу жалобы отказано;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bookmarkStart w:id="11" w:name="Par66"/>
      <w:r>
        <w:rPr>
          <w:sz w:val="28"/>
          <w:szCs w:val="28"/>
        </w:rPr>
        <w:t>4) имеется решение суда по вопросам, поставленным в жалобе;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ранее в уполномоченный орган была подана другая жалоба от того же контролируемого лица по тем же основаниям;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жалоба подана в ненадлежащий уполномоченный орган;</w:t>
      </w:r>
      <w:bookmarkStart w:id="12" w:name="Par71"/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857B69" w:rsidRDefault="00BF5806">
      <w:pPr>
        <w:pStyle w:val="Standard"/>
        <w:ind w:firstLine="540"/>
        <w:jc w:val="both"/>
      </w:pPr>
      <w:r>
        <w:rPr>
          <w:color w:val="000000"/>
          <w:sz w:val="28"/>
          <w:szCs w:val="28"/>
        </w:rPr>
        <w:t>6.14. Отказ в рассмотрении жалобы по основаниям, указанным в пунктах 3- 8</w:t>
      </w:r>
      <w:hyperlink w:anchor="Par71" w:history="1">
        <w:r>
          <w:rPr>
            <w:color w:val="000000"/>
            <w:sz w:val="28"/>
            <w:szCs w:val="28"/>
          </w:rPr>
          <w:t xml:space="preserve"> </w:t>
        </w:r>
        <w:proofErr w:type="gramStart"/>
        <w:r>
          <w:rPr>
            <w:color w:val="000000"/>
            <w:sz w:val="28"/>
            <w:szCs w:val="28"/>
          </w:rPr>
          <w:t>ч</w:t>
        </w:r>
      </w:hyperlink>
      <w:r>
        <w:rPr>
          <w:color w:val="000000"/>
          <w:sz w:val="28"/>
          <w:szCs w:val="28"/>
        </w:rPr>
        <w:t>асти</w:t>
      </w:r>
      <w:proofErr w:type="gramEnd"/>
      <w:r>
        <w:rPr>
          <w:color w:val="000000"/>
          <w:sz w:val="28"/>
          <w:szCs w:val="28"/>
        </w:rPr>
        <w:t xml:space="preserve"> 1  статьи 42 </w:t>
      </w:r>
      <w:r>
        <w:rPr>
          <w:rFonts w:cs="Arial"/>
          <w:color w:val="000000"/>
          <w:sz w:val="28"/>
          <w:szCs w:val="28"/>
          <w:lang w:eastAsia="ar-SA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color w:val="000000"/>
          <w:sz w:val="28"/>
          <w:szCs w:val="28"/>
        </w:rPr>
        <w:t>, не является результатом досудебного обжалования и не может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857B69" w:rsidRDefault="00BF5806">
      <w:pPr>
        <w:pStyle w:val="Standard"/>
        <w:ind w:firstLine="540"/>
        <w:jc w:val="both"/>
      </w:pPr>
      <w:r>
        <w:rPr>
          <w:color w:val="000000"/>
          <w:sz w:val="28"/>
          <w:szCs w:val="28"/>
        </w:rPr>
        <w:t>6.15. 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Правила веде</w:t>
      </w:r>
      <w:r>
        <w:rPr>
          <w:sz w:val="28"/>
          <w:szCs w:val="28"/>
        </w:rPr>
        <w:t>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857B69" w:rsidRDefault="00BF5806">
      <w:pPr>
        <w:pStyle w:val="Standard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Контрольный орган 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6.16. Жалоба подлежит рассмотрению контрольным органом в течение пятнадцати рабочих дней со дня ее регистрации в подсистеме досудебного обжалования.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6.17.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:rsidR="00857B69" w:rsidRDefault="00BF5806">
      <w:pPr>
        <w:pStyle w:val="Standard"/>
        <w:ind w:firstLine="540"/>
        <w:jc w:val="both"/>
      </w:pPr>
      <w:r>
        <w:rPr>
          <w:sz w:val="28"/>
          <w:szCs w:val="28"/>
        </w:rPr>
        <w:t>6.18.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контрольным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6.19.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  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6.20.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 xml:space="preserve">6.21. </w:t>
      </w:r>
      <w:proofErr w:type="gramStart"/>
      <w:r>
        <w:rPr>
          <w:sz w:val="28"/>
          <w:szCs w:val="28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  <w:proofErr w:type="gramEnd"/>
    </w:p>
    <w:p w:rsidR="00857B69" w:rsidRDefault="00BF5806">
      <w:pPr>
        <w:pStyle w:val="Standard"/>
        <w:spacing w:before="29"/>
        <w:ind w:firstLine="540"/>
        <w:jc w:val="both"/>
      </w:pPr>
      <w:r>
        <w:rPr>
          <w:sz w:val="28"/>
          <w:szCs w:val="28"/>
        </w:rPr>
        <w:t>6.22. По итогам рассмотрения жалобы контрольный орган принимает одно из следующих решений: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оставляет жалобу без удовлетворения;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отменяет решение контрольного (надзорного) органа полностью или частично;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отменяет решение контрольного (надзорного) органа полностью и принимает новое решение;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857B69" w:rsidRDefault="00BF5806">
      <w:pPr>
        <w:pStyle w:val="Standard"/>
        <w:spacing w:before="29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6.23. 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</w:t>
      </w:r>
      <w:proofErr w:type="gramStart"/>
      <w:r>
        <w:rPr>
          <w:sz w:val="28"/>
          <w:szCs w:val="28"/>
        </w:rPr>
        <w:t>.».</w:t>
      </w:r>
      <w:proofErr w:type="gramEnd"/>
    </w:p>
    <w:p w:rsidR="00857B69" w:rsidRDefault="00BF5806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2. Опубликовать настоящее решение в газете «Сельская новь. 67» и разместить на официальном сайте </w:t>
      </w:r>
      <w:proofErr w:type="spellStart"/>
      <w:r>
        <w:rPr>
          <w:bCs/>
          <w:sz w:val="28"/>
          <w:szCs w:val="28"/>
          <w:lang w:eastAsia="ar-SA"/>
        </w:rPr>
        <w:t>Починковского</w:t>
      </w:r>
      <w:proofErr w:type="spellEnd"/>
      <w:r>
        <w:rPr>
          <w:bCs/>
          <w:sz w:val="28"/>
          <w:szCs w:val="28"/>
          <w:lang w:eastAsia="ar-SA"/>
        </w:rPr>
        <w:t xml:space="preserve"> окружного Совета депутатов в информационно-телекоммуникационной сети «Интернет» </w:t>
      </w:r>
      <w:hyperlink r:id="rId9" w:history="1">
        <w:r>
          <w:rPr>
            <w:bCs/>
            <w:sz w:val="28"/>
            <w:szCs w:val="28"/>
            <w:lang w:eastAsia="ar-SA"/>
          </w:rPr>
          <w:t>https://sovet-pochinok.admin-smolensk.ru/</w:t>
        </w:r>
      </w:hyperlink>
      <w:r>
        <w:rPr>
          <w:bCs/>
          <w:sz w:val="28"/>
          <w:szCs w:val="28"/>
          <w:lang w:eastAsia="ar-SA"/>
        </w:rPr>
        <w:t>.</w:t>
      </w:r>
    </w:p>
    <w:p w:rsidR="00134B20" w:rsidRDefault="00134B20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</w:p>
    <w:p w:rsidR="007F71CD" w:rsidRDefault="007F71CD">
      <w:pPr>
        <w:pStyle w:val="Standard"/>
        <w:tabs>
          <w:tab w:val="right" w:pos="10205"/>
        </w:tabs>
        <w:ind w:right="-1" w:firstLine="720"/>
        <w:jc w:val="both"/>
        <w:rPr>
          <w:bCs/>
          <w:sz w:val="28"/>
          <w:szCs w:val="28"/>
          <w:lang w:eastAsia="ar-SA"/>
        </w:rPr>
      </w:pPr>
    </w:p>
    <w:tbl>
      <w:tblPr>
        <w:tblW w:w="101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992"/>
        <w:gridCol w:w="4784"/>
      </w:tblGrid>
      <w:tr w:rsidR="00857B69"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Председатель </w:t>
            </w:r>
            <w:proofErr w:type="spellStart"/>
            <w:r>
              <w:rPr>
                <w:sz w:val="28"/>
                <w:szCs w:val="28"/>
                <w:lang w:eastAsia="ar-SA"/>
              </w:rPr>
              <w:t>Починковского</w:t>
            </w:r>
            <w:proofErr w:type="spellEnd"/>
          </w:p>
          <w:p w:rsidR="00857B69" w:rsidRDefault="00BF5806" w:rsidP="00134B20">
            <w:pPr>
              <w:pStyle w:val="Standard"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окружного Совета депутатов</w:t>
            </w:r>
          </w:p>
          <w:p w:rsidR="00857B69" w:rsidRDefault="00857B69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</w:p>
          <w:p w:rsidR="00857B69" w:rsidRPr="00134B20" w:rsidRDefault="00BF5806">
            <w:pPr>
              <w:pStyle w:val="Standard"/>
              <w:autoSpaceDE w:val="0"/>
              <w:rPr>
                <w:sz w:val="10"/>
                <w:szCs w:val="1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</w:t>
            </w:r>
          </w:p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Г.А. Соколова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857B69">
            <w:pPr>
              <w:pStyle w:val="Standard"/>
              <w:autoSpaceDE w:val="0"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7B69" w:rsidRDefault="00BF5806" w:rsidP="00134B20">
            <w:pPr>
              <w:pStyle w:val="Standard"/>
              <w:autoSpaceDE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Глава  муниципального  образования «</w:t>
            </w:r>
            <w:proofErr w:type="spellStart"/>
            <w:r>
              <w:rPr>
                <w:sz w:val="28"/>
                <w:szCs w:val="28"/>
                <w:lang w:eastAsia="ar-SA"/>
              </w:rPr>
              <w:t>Починковский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муниципальный округ» Смоленской области                                  </w:t>
            </w:r>
          </w:p>
          <w:p w:rsidR="00857B69" w:rsidRPr="00134B20" w:rsidRDefault="00BF5806">
            <w:pPr>
              <w:pStyle w:val="Standard"/>
              <w:autoSpaceDE w:val="0"/>
              <w:rPr>
                <w:sz w:val="10"/>
                <w:szCs w:val="10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</w:t>
            </w:r>
          </w:p>
          <w:p w:rsidR="00857B69" w:rsidRDefault="00BF5806">
            <w:pPr>
              <w:pStyle w:val="Standard"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</w:t>
            </w:r>
            <w:r w:rsidR="00134B20">
              <w:rPr>
                <w:sz w:val="28"/>
                <w:szCs w:val="28"/>
                <w:lang w:eastAsia="ar-SA"/>
              </w:rPr>
              <w:t xml:space="preserve">    </w:t>
            </w:r>
            <w:r>
              <w:rPr>
                <w:sz w:val="28"/>
                <w:szCs w:val="28"/>
                <w:lang w:eastAsia="ar-SA"/>
              </w:rPr>
              <w:t xml:space="preserve">       А.В. Голуб</w:t>
            </w:r>
          </w:p>
        </w:tc>
      </w:tr>
    </w:tbl>
    <w:p w:rsidR="0032163F" w:rsidRDefault="0032163F">
      <w:pPr>
        <w:rPr>
          <w:rFonts w:ascii="Times New Roman" w:eastAsia="Times New Roman" w:hAnsi="Times New Roman" w:cs="Times New Roman"/>
          <w:vanish/>
          <w:sz w:val="20"/>
          <w:szCs w:val="20"/>
          <w:lang w:bidi="ar-SA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857B69" w:rsidRDefault="00857B69" w:rsidP="007F71CD">
      <w:pPr>
        <w:pStyle w:val="ConsNonformat"/>
        <w:jc w:val="both"/>
        <w:rPr>
          <w:rFonts w:ascii="Arial" w:hAnsi="Arial" w:cs="Times New Roman"/>
          <w:color w:val="392C69"/>
          <w:szCs w:val="28"/>
        </w:rPr>
      </w:pPr>
    </w:p>
    <w:sectPr w:rsidR="00857B69" w:rsidSect="00082B13">
      <w:headerReference w:type="default" r:id="rId10"/>
      <w:pgSz w:w="11906" w:h="16838"/>
      <w:pgMar w:top="907" w:right="567" w:bottom="907" w:left="1418" w:header="709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77" w:rsidRDefault="00496877">
      <w:pPr>
        <w:rPr>
          <w:rFonts w:hint="eastAsia"/>
        </w:rPr>
      </w:pPr>
      <w:r>
        <w:separator/>
      </w:r>
    </w:p>
  </w:endnote>
  <w:endnote w:type="continuationSeparator" w:id="0">
    <w:p w:rsidR="00496877" w:rsidRDefault="004968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77" w:rsidRDefault="004968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496877" w:rsidRDefault="0049687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DD1" w:rsidRDefault="00BF5806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622E7" wp14:editId="5C15B0B6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14760" cy="208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BE5DD1" w:rsidRDefault="00BF5806">
                          <w:pPr>
                            <w:pStyle w:val="a5"/>
                          </w:pP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943D34">
                            <w:rPr>
                              <w:rStyle w:val="a8"/>
                              <w:noProof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rStyle w:val="a8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0;margin-top:.05pt;width:1.15pt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" stroked="f">
              <v:fill opacity="0"/>
              <v:textbox style="mso-fit-shape-to-text:t" inset="0,0,0,0">
                <w:txbxContent>
                  <w:p w:rsidR="00BE5DD1" w:rsidRDefault="00BF5806">
                    <w:pPr>
                      <w:pStyle w:val="a5"/>
                    </w:pPr>
                    <w:r>
                      <w:rPr>
                        <w:rStyle w:val="a8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a8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a8"/>
                        <w:sz w:val="26"/>
                        <w:szCs w:val="26"/>
                      </w:rPr>
                      <w:fldChar w:fldCharType="separate"/>
                    </w:r>
                    <w:r w:rsidR="00943D34">
                      <w:rPr>
                        <w:rStyle w:val="a8"/>
                        <w:noProof/>
                        <w:sz w:val="26"/>
                        <w:szCs w:val="26"/>
                      </w:rPr>
                      <w:t>2</w:t>
                    </w:r>
                    <w:r>
                      <w:rPr>
                        <w:rStyle w:val="a8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CBF"/>
    <w:multiLevelType w:val="multilevel"/>
    <w:tmpl w:val="FCB0AC94"/>
    <w:styleLink w:val="WW8Num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1260D0B"/>
    <w:multiLevelType w:val="multilevel"/>
    <w:tmpl w:val="3E26895C"/>
    <w:styleLink w:val="WW8Num1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12F579B7"/>
    <w:multiLevelType w:val="multilevel"/>
    <w:tmpl w:val="46A6D1E2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7455B32"/>
    <w:multiLevelType w:val="multilevel"/>
    <w:tmpl w:val="B9AEB876"/>
    <w:styleLink w:val="WW8Num13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185F1A56"/>
    <w:multiLevelType w:val="multilevel"/>
    <w:tmpl w:val="082CD6DC"/>
    <w:styleLink w:val="WW8Num15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9493BC1"/>
    <w:multiLevelType w:val="multilevel"/>
    <w:tmpl w:val="393C1D2C"/>
    <w:styleLink w:val="WW8Num11"/>
    <w:lvl w:ilvl="0">
      <w:start w:val="5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EC93093"/>
    <w:multiLevelType w:val="multilevel"/>
    <w:tmpl w:val="60EE11AE"/>
    <w:styleLink w:val="WW8Num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09B0AFA"/>
    <w:multiLevelType w:val="multilevel"/>
    <w:tmpl w:val="98D6B158"/>
    <w:styleLink w:val="WW8Num7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2A1B769A"/>
    <w:multiLevelType w:val="multilevel"/>
    <w:tmpl w:val="A7E201E6"/>
    <w:styleLink w:val="WW8Num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9814F1B"/>
    <w:multiLevelType w:val="multilevel"/>
    <w:tmpl w:val="1DC431A0"/>
    <w:styleLink w:val="WW8Num1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43710B83"/>
    <w:multiLevelType w:val="multilevel"/>
    <w:tmpl w:val="B9EAF770"/>
    <w:styleLink w:val="WW8Num10"/>
    <w:lvl w:ilvl="0">
      <w:numFmt w:val="bullet"/>
      <w:lvlText w:val="-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44233910"/>
    <w:multiLevelType w:val="multilevel"/>
    <w:tmpl w:val="A99EAB58"/>
    <w:styleLink w:val="WW8Num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5C9870B3"/>
    <w:multiLevelType w:val="multilevel"/>
    <w:tmpl w:val="A1BAD81C"/>
    <w:styleLink w:val="WW8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5E407E9C"/>
    <w:multiLevelType w:val="multilevel"/>
    <w:tmpl w:val="D9EAA89E"/>
    <w:styleLink w:val="WW8Num2"/>
    <w:lvl w:ilvl="0">
      <w:numFmt w:val="bullet"/>
      <w:lvlText w:val="-"/>
      <w:lvlJc w:val="left"/>
      <w:rPr>
        <w:rFonts w:ascii="Liberation Serif" w:hAnsi="Liberation Seri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6C0E1136"/>
    <w:multiLevelType w:val="multilevel"/>
    <w:tmpl w:val="04826CA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7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7B69"/>
    <w:rsid w:val="00082B13"/>
    <w:rsid w:val="00134B20"/>
    <w:rsid w:val="002953DB"/>
    <w:rsid w:val="002B1C72"/>
    <w:rsid w:val="00304E94"/>
    <w:rsid w:val="00317073"/>
    <w:rsid w:val="0032163F"/>
    <w:rsid w:val="003E056D"/>
    <w:rsid w:val="00496877"/>
    <w:rsid w:val="006B55F5"/>
    <w:rsid w:val="007F71CD"/>
    <w:rsid w:val="00857B69"/>
    <w:rsid w:val="00943D34"/>
    <w:rsid w:val="00A5722C"/>
    <w:rsid w:val="00AB0E4D"/>
    <w:rsid w:val="00BF5806"/>
    <w:rsid w:val="00C70106"/>
    <w:rsid w:val="00D7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Standard"/>
    <w:pPr>
      <w:widowControl w:val="0"/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2">
    <w:name w:val="Body Text 2"/>
    <w:basedOn w:val="Standard"/>
    <w:pPr>
      <w:jc w:val="center"/>
    </w:pPr>
  </w:style>
  <w:style w:type="paragraph" w:customStyle="1" w:styleId="Footnote">
    <w:name w:val="Footnote"/>
    <w:basedOn w:val="Standard"/>
  </w:style>
  <w:style w:type="paragraph" w:customStyle="1" w:styleId="ConsNormal">
    <w:name w:val="ConsNormal"/>
    <w:pPr>
      <w:widowControl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nformat">
    <w:name w:val="ConsNonformat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user">
    <w:name w:val="Standard (user)"/>
    <w:pPr>
      <w:widowControl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sPlusNormal">
    <w:name w:val="ConsPlusNormal"/>
    <w:pPr>
      <w:widowControl/>
      <w:ind w:firstLine="720"/>
    </w:pPr>
    <w:rPr>
      <w:rFonts w:ascii="Arial" w:eastAsia="Times New Roman" w:hAnsi="Arial"/>
      <w:sz w:val="20"/>
      <w:szCs w:val="20"/>
    </w:rPr>
  </w:style>
  <w:style w:type="character" w:customStyle="1" w:styleId="WW8Num1z1">
    <w:name w:val="WW8Num1z1"/>
    <w:rPr>
      <w:b w:val="0"/>
      <w:sz w:val="28"/>
      <w:szCs w:val="28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8">
    <w:name w:val="page number"/>
    <w:basedOn w:val="a0"/>
  </w:style>
  <w:style w:type="character" w:customStyle="1" w:styleId="Absatz-Standardschriftart">
    <w:name w:val="Absatz-Standardschriftart"/>
  </w:style>
  <w:style w:type="character" w:customStyle="1" w:styleId="50">
    <w:name w:val="Заголовок 5 Знак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a9">
    <w:name w:val="Нижний колонтитул Знак"/>
    <w:basedOn w:val="a0"/>
  </w:style>
  <w:style w:type="character" w:customStyle="1" w:styleId="aa">
    <w:name w:val="Основной текст с отступом Знак"/>
    <w:basedOn w:val="a0"/>
  </w:style>
  <w:style w:type="character" w:styleId="ab">
    <w:name w:val="Emphasis"/>
    <w:rPr>
      <w:i/>
      <w:iCs w:val="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Standard"/>
    <w:next w:val="Standard"/>
    <w:pPr>
      <w:widowControl w:val="0"/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right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2">
    <w:name w:val="Body Text 2"/>
    <w:basedOn w:val="Standard"/>
    <w:pPr>
      <w:jc w:val="center"/>
    </w:pPr>
  </w:style>
  <w:style w:type="paragraph" w:customStyle="1" w:styleId="Footnote">
    <w:name w:val="Footnote"/>
    <w:basedOn w:val="Standard"/>
  </w:style>
  <w:style w:type="paragraph" w:customStyle="1" w:styleId="ConsNormal">
    <w:name w:val="ConsNormal"/>
    <w:pPr>
      <w:widowControl/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nformat">
    <w:name w:val="ConsNonformat"/>
    <w:pPr>
      <w:widowControl/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Pr>
      <w:rFonts w:ascii="Tahoma" w:hAnsi="Tahoma" w:cs="Tahoma"/>
      <w:sz w:val="16"/>
      <w:szCs w:val="16"/>
    </w:r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user">
    <w:name w:val="Standard (user)"/>
    <w:pPr>
      <w:widowControl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ConsPlusNormal">
    <w:name w:val="ConsPlusNormal"/>
    <w:pPr>
      <w:widowControl/>
      <w:ind w:firstLine="720"/>
    </w:pPr>
    <w:rPr>
      <w:rFonts w:ascii="Arial" w:eastAsia="Times New Roman" w:hAnsi="Arial"/>
      <w:sz w:val="20"/>
      <w:szCs w:val="20"/>
    </w:rPr>
  </w:style>
  <w:style w:type="character" w:customStyle="1" w:styleId="WW8Num1z1">
    <w:name w:val="WW8Num1z1"/>
    <w:rPr>
      <w:b w:val="0"/>
      <w:sz w:val="28"/>
      <w:szCs w:val="28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8">
    <w:name w:val="page number"/>
    <w:basedOn w:val="a0"/>
  </w:style>
  <w:style w:type="character" w:customStyle="1" w:styleId="Absatz-Standardschriftart">
    <w:name w:val="Absatz-Standardschriftart"/>
  </w:style>
  <w:style w:type="character" w:customStyle="1" w:styleId="50">
    <w:name w:val="Заголовок 5 Знак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a9">
    <w:name w:val="Нижний колонтитул Знак"/>
    <w:basedOn w:val="a0"/>
  </w:style>
  <w:style w:type="character" w:customStyle="1" w:styleId="aa">
    <w:name w:val="Основной текст с отступом Знак"/>
    <w:basedOn w:val="a0"/>
  </w:style>
  <w:style w:type="character" w:styleId="ab">
    <w:name w:val="Emphasis"/>
    <w:rPr>
      <w:i/>
      <w:iCs w:val="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ovet-pochinok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3488</Words>
  <Characters>19883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vt:lpstr>
    </vt:vector>
  </TitlesOfParts>
  <Company/>
  <LinksUpToDate>false</LinksUpToDate>
  <CharactersWithSpaces>23325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31.07.2020 N 248-ФЗ(ред. от 29.12.2025)"О государственном контроле (надзоре) и муниципальном контроле в Российской Федерации"(с изм. и доп., вступ. в силу с 01.01.2026)</dc:title>
  <dc:creator>1</dc:creator>
  <cp:lastModifiedBy>Позднякова Наталья Сергеевна</cp:lastModifiedBy>
  <cp:revision>11</cp:revision>
  <cp:lastPrinted>2026-04-16T13:28:00Z</cp:lastPrinted>
  <dcterms:created xsi:type="dcterms:W3CDTF">2026-04-16T13:47:00Z</dcterms:created>
  <dcterms:modified xsi:type="dcterms:W3CDTF">2026-04-29T12:55:00Z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4026.00.02</vt:lpwstr>
  </property>
</Properties>
</file>