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AE" w:rsidRPr="00B13ECE" w:rsidRDefault="000E7CAE" w:rsidP="0042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48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42437B"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42437B" w:rsidRPr="00B13ECE" w:rsidRDefault="00B13ECE" w:rsidP="0042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437B"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42437B" w:rsidRPr="0042437B" w:rsidRDefault="00B13ECE" w:rsidP="0042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2437B"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</w:t>
      </w:r>
      <w:proofErr w:type="spellStart"/>
      <w:r w:rsidR="0042437B"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Починковский</w:t>
      </w:r>
      <w:proofErr w:type="spellEnd"/>
      <w:r w:rsidR="0042437B" w:rsidRPr="00B1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за 2015 год</w:t>
      </w:r>
    </w:p>
    <w:p w:rsidR="0022316D" w:rsidRPr="0042437B" w:rsidRDefault="0022316D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437B" w:rsidRDefault="0042437B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2015 год представлен  в соответствии со ст.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п.27 ст.4 Положения о Контрольно-ревизионной комиссии муниципального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утвержденного решением Совета депутатов муниципального</w:t>
      </w:r>
      <w:proofErr w:type="gram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9D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25.01.2012 года №2.</w:t>
      </w:r>
    </w:p>
    <w:p w:rsidR="0042437B" w:rsidRDefault="0042437B" w:rsidP="004243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37B" w:rsidRDefault="0042437B" w:rsidP="0042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B13ECE" w:rsidRDefault="00B13ECE" w:rsidP="0042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437B" w:rsidRDefault="0042437B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КРК)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деятельность в соответствии с планом работы, утвержденным  24.12.201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  План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выполнен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7B" w:rsidRDefault="0042437B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ствляла экспертно-аналитическую и</w:t>
      </w:r>
      <w:r w:rsidRPr="000E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контрольно-ревизионную виды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42437B" w:rsidRDefault="0042437B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о КРК заключено 17 соглашений о передаче полномочий контрольно-ревизионных органов поселений района в контрольно-ревизионный орган муниципального образования.</w:t>
      </w:r>
    </w:p>
    <w:p w:rsidR="006A49F5" w:rsidRPr="0042437B" w:rsidRDefault="006A49F5" w:rsidP="009D5A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Экспертно-аналитические мероприятия</w:t>
      </w:r>
    </w:p>
    <w:p w:rsidR="00581530" w:rsidRPr="0042437B" w:rsidRDefault="00581530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CAE" w:rsidRPr="0042437B" w:rsidRDefault="000E7CAE" w:rsidP="00B13ECE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и с учетом требований БК РФ проведено  </w:t>
      </w:r>
      <w:r w:rsidR="00465E0B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A196B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6DD3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E148F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</w:t>
      </w:r>
      <w:r w:rsidR="00A6487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2CC8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07B83" w:rsidRPr="0042437B" w:rsidRDefault="00AC63F2" w:rsidP="00393A1F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годово</w:t>
      </w:r>
      <w:r w:rsidR="00E148F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отчета об исполнении бюджета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 w:rsidR="009C0CD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D62CC8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проверки годового отчета об исполнении бюджета муниципального образования за 201</w:t>
      </w:r>
      <w:r w:rsidR="009C0CD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проверки бюджетной отчетности 9 главных распорядителей бюджетных средств. </w:t>
      </w:r>
      <w:r w:rsidR="00707B83" w:rsidRPr="0042437B">
        <w:rPr>
          <w:rFonts w:ascii="Times New Roman" w:hAnsi="Times New Roman" w:cs="Times New Roman"/>
          <w:sz w:val="28"/>
          <w:szCs w:val="28"/>
        </w:rPr>
        <w:t xml:space="preserve">По результатам проверки бюджетной отчетности главных администраторов бюджетных средств установлены </w:t>
      </w:r>
      <w:r w:rsidR="00D62CC8" w:rsidRPr="0042437B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707B83" w:rsidRPr="0042437B">
        <w:rPr>
          <w:rFonts w:ascii="Times New Roman" w:hAnsi="Times New Roman" w:cs="Times New Roman"/>
          <w:sz w:val="28"/>
          <w:szCs w:val="28"/>
        </w:rPr>
        <w:t>нарушения порядка</w:t>
      </w:r>
      <w:r w:rsidR="00707B83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составления и представления годовой, квартальной и месячной отчетности,</w:t>
      </w:r>
      <w:r w:rsidR="00707B83" w:rsidRPr="0042437B">
        <w:rPr>
          <w:rFonts w:ascii="Times New Roman" w:hAnsi="Times New Roman" w:cs="Times New Roman"/>
          <w:sz w:val="28"/>
          <w:szCs w:val="28"/>
        </w:rPr>
        <w:t xml:space="preserve"> в части заполнения отдельных форм, не повлиявшие на достоверность отчетных показателей.</w:t>
      </w:r>
    </w:p>
    <w:p w:rsidR="0088172B" w:rsidRPr="0042437B" w:rsidRDefault="00E148FE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проверкой, составил </w:t>
      </w:r>
      <w:r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8172B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8172B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88172B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615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E7CAE" w:rsidRPr="0042437B" w:rsidRDefault="00AC63F2" w:rsidP="00A43D4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нешняя проверка годовых отчетов об исполнении бюджета за 201</w:t>
      </w:r>
      <w:r w:rsidR="006D5411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4г.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сельских и 1 городского поселений, входящих в состав муниципального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0A41B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заключений.</w:t>
      </w:r>
    </w:p>
    <w:p w:rsidR="00C854CC" w:rsidRPr="0042437B" w:rsidRDefault="000E7CAE" w:rsidP="00B13ECE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мероприятий установлен</w:t>
      </w:r>
      <w:r w:rsidR="00A922E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</w:t>
      </w:r>
      <w:r w:rsidR="00A922E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</w:t>
      </w:r>
      <w:r w:rsidR="00A922E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бюджетной отчетности, а также документов и материалов, имеющихся в составе проекта решения об исполнении бюджета. Дана оценка факти</w:t>
      </w:r>
      <w:r w:rsidR="00C854C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исполнению бюджетов по отношению к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плановым назначениям.  Фактов искажения бюджетной отчетности, повлиявших на финансовые результаты и достоверность отчетности</w:t>
      </w:r>
      <w:r w:rsidR="00A922E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  <w:r w:rsidR="00757FE1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D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C854CC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случаи несоблюдения отдельных требований Инструкции о порядке составления и представления годовой, квартальной и месячной отчетности</w:t>
      </w:r>
      <w:r w:rsidR="00CF49F0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854CC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F49F0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CF49F0" w:rsidRPr="004243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="00C854CC" w:rsidRPr="004243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 исполнении бюджетов бюджетной системы Российской Федерации, утвержденной приказом Министерства финансов Российской Федерации от 28.12.2010г. №191н (с последующими изменениями</w:t>
      </w:r>
      <w:r w:rsidR="00C854CC" w:rsidRPr="004243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744D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A63" w:rsidRPr="0042437B" w:rsidRDefault="00AC63F2" w:rsidP="00B13ECE">
      <w:pPr>
        <w:shd w:val="clear" w:color="auto" w:fill="FFFFFF" w:themeFill="background1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hAnsi="Times New Roman" w:cs="Times New Roman"/>
          <w:sz w:val="28"/>
          <w:szCs w:val="28"/>
        </w:rPr>
        <w:t>Произведен а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ежеквартальных отчетов за 201</w:t>
      </w:r>
      <w:r w:rsidR="00CF49F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 исполнении бюджета муниципального образования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бюджетов 16 сельских и 1 городского поселений, входящих в состав МО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Подготовлены 5</w:t>
      </w:r>
      <w:r w:rsidR="00F57A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заключения. </w:t>
      </w:r>
      <w:r w:rsidR="00F57A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показателей квартальных отчетов об исполнении бюджета поселения плановым показателям не выявлено. Организация исполнения бюджетов муниципального образования «</w:t>
      </w:r>
      <w:proofErr w:type="spellStart"/>
      <w:r w:rsidR="00F57A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F57A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сельских и городского поселений соответствовала требованиям Бюджетного кодекса Российской Федерации. </w:t>
      </w:r>
    </w:p>
    <w:p w:rsidR="000E7CAE" w:rsidRPr="0042437B" w:rsidRDefault="00AC63F2" w:rsidP="00393A1F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9 заключений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проекты решений о внесении изменений в бюджет муниципального образования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2225B2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225B2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225B2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E7CAE" w:rsidRPr="0042437B" w:rsidRDefault="00AC63F2" w:rsidP="009D5A6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2B92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мечания отсутствуют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AE" w:rsidRPr="0042437B" w:rsidRDefault="00AE5DE8" w:rsidP="00393A1F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экспертиза проектов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 внесении изменений в бюджеты муниципальных образований  городского и сельских поселений 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201</w:t>
      </w:r>
      <w:r w:rsidR="008C482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8350D8" w:rsidRPr="0042437B" w:rsidRDefault="000E7CAE" w:rsidP="008350D8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5771D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 заключени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71D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C8620F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городскому поселению, </w:t>
      </w:r>
      <w:r w:rsidR="00C8620F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D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сельским поселениям). Без предложений о необходимости внесения поправок направлено 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547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82,9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количества. 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7D4C56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2B92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(17,1</w:t>
      </w:r>
      <w:r w:rsidR="00701F4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количества)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содержали предложения по внесению поправок, пояснений и устранению нарушений бюджетного законодательства.</w:t>
      </w:r>
      <w:r w:rsidR="00701F4D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 w:rsidR="00E14D8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нарушения в суммовом выражении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E14D8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30"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89,4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65229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0D8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230" w:rsidRPr="0042437B" w:rsidRDefault="004A3230" w:rsidP="00B13EC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выявлялись технические ошибки в текстовых частях проектов решений </w:t>
      </w:r>
      <w:r w:rsidRPr="004243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CF49F0" w:rsidRPr="0042437B">
        <w:rPr>
          <w:rFonts w:ascii="Times New Roman" w:hAnsi="Times New Roman" w:cs="Times New Roman"/>
          <w:sz w:val="28"/>
          <w:szCs w:val="28"/>
        </w:rPr>
        <w:t>о бюджете поселения на 2015 год</w:t>
      </w:r>
      <w:r w:rsidRPr="0042437B">
        <w:rPr>
          <w:rFonts w:ascii="Times New Roman" w:hAnsi="Times New Roman" w:cs="Times New Roman"/>
          <w:sz w:val="28"/>
          <w:szCs w:val="28"/>
        </w:rPr>
        <w:t>.</w:t>
      </w:r>
    </w:p>
    <w:p w:rsidR="00AE5DE8" w:rsidRPr="0042437B" w:rsidRDefault="00AE5DE8" w:rsidP="00B13EC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з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на проект решения Совета депутатов 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«О бюджете муниципального образования «</w:t>
      </w:r>
      <w:proofErr w:type="spellStart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4A323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</w:t>
      </w:r>
      <w:r w:rsidR="000E7CAE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11CA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F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подготовлено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заключений на проекты решений Советов депутатов муниципальных образований поселений, входящих в состав муниципального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«О бюджете муниципального образования на 2016 год».</w:t>
      </w:r>
    </w:p>
    <w:p w:rsidR="003458D3" w:rsidRPr="0042437B" w:rsidRDefault="000E7CAE" w:rsidP="00AE5DE8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бюджетов соответств</w:t>
      </w:r>
      <w:r w:rsidR="00F11CA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</w:t>
      </w:r>
      <w:r w:rsidR="00F11CA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рекомендованы к утверждению. </w:t>
      </w:r>
    </w:p>
    <w:p w:rsidR="007974BB" w:rsidRPr="0042437B" w:rsidRDefault="00AE5DE8" w:rsidP="00B13ECE">
      <w:pPr>
        <w:pStyle w:val="11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42437B">
        <w:rPr>
          <w:rFonts w:ascii="Times New Roman" w:hAnsi="Times New Roman"/>
          <w:sz w:val="28"/>
          <w:szCs w:val="28"/>
          <w:lang w:eastAsia="ru-RU"/>
        </w:rPr>
        <w:t xml:space="preserve">Проведена </w:t>
      </w:r>
      <w:r w:rsidR="000E7CAE" w:rsidRPr="0042437B">
        <w:rPr>
          <w:rFonts w:ascii="Times New Roman" w:hAnsi="Times New Roman"/>
          <w:sz w:val="28"/>
          <w:szCs w:val="28"/>
          <w:lang w:eastAsia="ru-RU"/>
        </w:rPr>
        <w:t>Финанс</w:t>
      </w:r>
      <w:bookmarkStart w:id="0" w:name="_GoBack"/>
      <w:bookmarkEnd w:id="0"/>
      <w:r w:rsidR="000E7CAE" w:rsidRPr="0042437B">
        <w:rPr>
          <w:rFonts w:ascii="Times New Roman" w:hAnsi="Times New Roman"/>
          <w:sz w:val="28"/>
          <w:szCs w:val="28"/>
          <w:lang w:eastAsia="ru-RU"/>
        </w:rPr>
        <w:t>ово-экономическая экспертиза  муниципальн</w:t>
      </w:r>
      <w:r w:rsidR="003458D3" w:rsidRPr="0042437B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="000E7CAE" w:rsidRPr="0042437B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3458D3" w:rsidRPr="0042437B">
        <w:rPr>
          <w:rFonts w:ascii="Times New Roman" w:hAnsi="Times New Roman"/>
          <w:sz w:val="28"/>
          <w:szCs w:val="28"/>
          <w:lang w:eastAsia="ru-RU"/>
        </w:rPr>
        <w:t>.</w:t>
      </w:r>
      <w:r w:rsidRPr="0042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8D3" w:rsidRPr="0042437B">
        <w:rPr>
          <w:rFonts w:ascii="Times New Roman" w:hAnsi="Times New Roman"/>
          <w:sz w:val="28"/>
          <w:szCs w:val="28"/>
          <w:lang w:eastAsia="ru-RU"/>
        </w:rPr>
        <w:t>Подготовлен</w:t>
      </w:r>
      <w:r w:rsidR="00332C4E" w:rsidRPr="0042437B">
        <w:rPr>
          <w:rFonts w:ascii="Times New Roman" w:hAnsi="Times New Roman"/>
          <w:sz w:val="28"/>
          <w:szCs w:val="28"/>
          <w:lang w:eastAsia="ru-RU"/>
        </w:rPr>
        <w:t>ы</w:t>
      </w:r>
      <w:r w:rsidR="003458D3" w:rsidRPr="0042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51B" w:rsidRPr="0042437B">
        <w:rPr>
          <w:rFonts w:ascii="Times New Roman" w:hAnsi="Times New Roman"/>
          <w:sz w:val="28"/>
          <w:szCs w:val="28"/>
          <w:lang w:eastAsia="ru-RU"/>
        </w:rPr>
        <w:t>4</w:t>
      </w:r>
      <w:r w:rsidR="003458D3" w:rsidRPr="0042437B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 w:rsidR="00BC351B" w:rsidRPr="0042437B">
        <w:rPr>
          <w:rFonts w:ascii="Times New Roman" w:hAnsi="Times New Roman"/>
          <w:sz w:val="28"/>
          <w:szCs w:val="28"/>
          <w:lang w:eastAsia="ru-RU"/>
        </w:rPr>
        <w:t>я</w:t>
      </w:r>
      <w:r w:rsidR="004F7A2D" w:rsidRPr="0042437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C4AF0" w:rsidRPr="0042437B">
        <w:rPr>
          <w:rFonts w:ascii="Times New Roman" w:hAnsi="Times New Roman"/>
          <w:sz w:val="28"/>
          <w:szCs w:val="28"/>
          <w:lang w:eastAsia="ru-RU"/>
        </w:rPr>
        <w:t xml:space="preserve">проекты </w:t>
      </w:r>
      <w:r w:rsidR="004F7A2D" w:rsidRPr="0042437B"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="00EC4AF0" w:rsidRPr="0042437B">
        <w:rPr>
          <w:rFonts w:ascii="Times New Roman" w:hAnsi="Times New Roman"/>
          <w:sz w:val="28"/>
          <w:szCs w:val="28"/>
          <w:lang w:eastAsia="ru-RU"/>
        </w:rPr>
        <w:t>х программ</w:t>
      </w:r>
      <w:r w:rsidR="004F7A2D" w:rsidRPr="0042437B">
        <w:rPr>
          <w:rFonts w:ascii="Times New Roman" w:hAnsi="Times New Roman"/>
          <w:sz w:val="28"/>
          <w:szCs w:val="28"/>
          <w:lang w:eastAsia="ru-RU"/>
        </w:rPr>
        <w:t xml:space="preserve"> сельских поселений</w:t>
      </w:r>
      <w:r w:rsidR="00BC351B" w:rsidRPr="0042437B">
        <w:rPr>
          <w:rFonts w:ascii="Times New Roman" w:hAnsi="Times New Roman"/>
          <w:sz w:val="28"/>
          <w:szCs w:val="28"/>
          <w:lang w:eastAsia="ru-RU"/>
        </w:rPr>
        <w:t xml:space="preserve"> и 1 заключение на утвержденную муниципальную программу</w:t>
      </w:r>
      <w:r w:rsidR="00A17CC9" w:rsidRPr="0042437B">
        <w:rPr>
          <w:rFonts w:ascii="Times New Roman" w:eastAsia="Calibri" w:hAnsi="Times New Roman"/>
          <w:sz w:val="28"/>
          <w:szCs w:val="28"/>
        </w:rPr>
        <w:t xml:space="preserve">. </w:t>
      </w:r>
    </w:p>
    <w:p w:rsidR="00F76481" w:rsidRPr="0042437B" w:rsidRDefault="007974BB" w:rsidP="004243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725C2" w:rsidRPr="0042437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E7CAE" w:rsidRDefault="000E7CAE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мероприятия</w:t>
      </w:r>
    </w:p>
    <w:p w:rsidR="00581530" w:rsidRPr="0042437B" w:rsidRDefault="00581530" w:rsidP="009D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96B" w:rsidRPr="0042437B" w:rsidRDefault="000E7CAE" w:rsidP="009D5A61">
      <w:pPr>
        <w:tabs>
          <w:tab w:val="left" w:pos="709"/>
          <w:tab w:val="left" w:pos="2127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на 201</w:t>
      </w:r>
      <w:r w:rsidR="006B2F8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6B2F8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контрольных мероприятий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</w:t>
      </w:r>
      <w:r w:rsidR="003150F7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стали </w:t>
      </w:r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района, Финансовое управление, </w:t>
      </w:r>
      <w:r w:rsidR="00B3081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Совет депутатов </w:t>
      </w:r>
      <w:proofErr w:type="spellStart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два муниципальных бюджетных общеобразовательных учреждения (МБОУ) </w:t>
      </w:r>
      <w:proofErr w:type="spellStart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Дивинская</w:t>
      </w:r>
      <w:proofErr w:type="spellEnd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Переснянская</w:t>
      </w:r>
      <w:proofErr w:type="spellEnd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средние школы, муниципальное казенное общеобразовательное учреждение</w:t>
      </w:r>
      <w:r w:rsidR="00D11E8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(МКОУ)</w:t>
      </w:r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Климщинская</w:t>
      </w:r>
      <w:proofErr w:type="spellEnd"/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школа</w:t>
      </w:r>
      <w:r w:rsidR="00F231A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F231A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Даньковского</w:t>
      </w:r>
      <w:proofErr w:type="spellEnd"/>
      <w:r w:rsidR="00F231A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96B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проверенных средств составила 96 333,6 тыс. руб., в том числе средств бюджета муниципального района </w:t>
      </w:r>
      <w:r w:rsidR="0095362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79 910,4</w:t>
      </w:r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(82</w:t>
      </w:r>
      <w:r w:rsidR="0095362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,95</w:t>
      </w:r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5362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проверенных средств</w:t>
      </w:r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средств бюджета </w:t>
      </w:r>
      <w:proofErr w:type="spellStart"/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2 183,3 тыс. руб. (2,3%), средств бюджета </w:t>
      </w:r>
      <w:proofErr w:type="spellStart"/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Даньковского</w:t>
      </w:r>
      <w:proofErr w:type="spellEnd"/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14 003,2 тыс. руб. (14,5%)</w:t>
      </w:r>
      <w:r w:rsidR="0095362C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средств, полученных от предпринимательской деятельности 236,7 тыс. руб. (0,25%)</w:t>
      </w:r>
      <w:r w:rsidR="00646AE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6481" w:rsidRPr="0042437B" w:rsidRDefault="00FE3623" w:rsidP="00F76481">
      <w:pPr>
        <w:shd w:val="clear" w:color="auto" w:fill="FFFFFF" w:themeFill="background1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контрольных мероприятий направлены 8  представлений</w:t>
      </w:r>
      <w:r w:rsidR="00245E3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ненадлежащем исполнении бюджетного процесса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устранению выявленных нарушений и недостатков. </w:t>
      </w:r>
      <w:proofErr w:type="gramEnd"/>
    </w:p>
    <w:p w:rsidR="00CF49F0" w:rsidRPr="0042437B" w:rsidRDefault="0042437B" w:rsidP="00CF49F0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9F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выданных представлений контролируется Контрольно-ревизионной комиссией. </w:t>
      </w:r>
    </w:p>
    <w:p w:rsidR="00245E30" w:rsidRPr="0042437B" w:rsidRDefault="00245E30" w:rsidP="00F76481">
      <w:pPr>
        <w:shd w:val="clear" w:color="auto" w:fill="FFFFFF" w:themeFill="background1"/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 в адрес КРК в течение 30 дней направляется информация об устранении выявленных нарушений.</w:t>
      </w:r>
    </w:p>
    <w:p w:rsidR="006D1AA3" w:rsidRPr="0042437B" w:rsidRDefault="009037B8" w:rsidP="0042437B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</w:t>
      </w:r>
      <w:r w:rsidR="00CF49F0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1D0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B5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</w:t>
      </w:r>
      <w:r w:rsidR="009F4F07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8F6205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бюджетного законодательства при реализации государственных, региональных и муниципальных программ в сфере развития сельского хозяйства </w:t>
      </w:r>
      <w:r w:rsidR="001A614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A614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1A614A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9F4F07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2013г. по 1 июня 2015г.</w:t>
      </w:r>
    </w:p>
    <w:p w:rsidR="000E7CAE" w:rsidRPr="0042437B" w:rsidRDefault="000E7CAE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1530" w:rsidRPr="008655B8" w:rsidRDefault="00581530" w:rsidP="00581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</w:t>
      </w:r>
    </w:p>
    <w:p w:rsidR="00581530" w:rsidRDefault="00581530" w:rsidP="005815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1530" w:rsidRDefault="00581530" w:rsidP="005815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план работы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но-ревизионной комиссии  на 2016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включает в себя мероприятия по контролю за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 муниципального района, городского и сельских 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муниципального района,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проверки годовых отчетов об исполнении бюджета района и бюджетов поселений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экспертно-аналитические мероприятия по проведению финансовой экспертизы проектов решений и нормативных правовых актов. </w:t>
      </w:r>
      <w:proofErr w:type="gramEnd"/>
    </w:p>
    <w:p w:rsidR="00581530" w:rsidRPr="002E31E7" w:rsidRDefault="00581530" w:rsidP="0058153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от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 включении аналитических или контрольных мероприятий в план работы КРК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поступали.</w:t>
      </w:r>
    </w:p>
    <w:p w:rsidR="00581530" w:rsidRDefault="00581530" w:rsidP="00581530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Контрольно-ревизионная комиссия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  осуществлять на принципе публичности и направлять информацию по результатам своей деятельности в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и городского 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а также опубликовывать ее на официальном сайте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865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6C2E" w:rsidRPr="0042437B" w:rsidRDefault="00826C2E" w:rsidP="009D5A61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0F7" w:rsidRPr="0042437B" w:rsidRDefault="003150F7" w:rsidP="009D5A61">
      <w:p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B5" w:rsidRPr="0042437B" w:rsidRDefault="00633B63" w:rsidP="009D5A6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hAnsi="Times New Roman" w:cs="Times New Roman"/>
          <w:sz w:val="28"/>
          <w:szCs w:val="28"/>
        </w:rPr>
        <w:t>Председатель  КРК</w:t>
      </w:r>
      <w:r w:rsidR="00C37244" w:rsidRPr="004243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425DB5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DB5" w:rsidRPr="0042437B" w:rsidRDefault="004048DA" w:rsidP="009D5A6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B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425DB5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B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33B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633B63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33B63" w:rsidRPr="0042437B" w:rsidRDefault="00633B63" w:rsidP="009D5A6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</w:t>
      </w:r>
      <w:r w:rsidR="00425DB5"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4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С.В.Осипенков</w:t>
      </w:r>
      <w:proofErr w:type="spellEnd"/>
    </w:p>
    <w:sectPr w:rsidR="00633B63" w:rsidRPr="0042437B" w:rsidSect="005400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5" w:rsidRDefault="00FD1805" w:rsidP="00177BB2">
      <w:pPr>
        <w:spacing w:after="0" w:line="240" w:lineRule="auto"/>
      </w:pPr>
      <w:r>
        <w:separator/>
      </w:r>
    </w:p>
  </w:endnote>
  <w:endnote w:type="continuationSeparator" w:id="0">
    <w:p w:rsidR="00FD1805" w:rsidRDefault="00FD1805" w:rsidP="0017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5" w:rsidRDefault="00FD1805" w:rsidP="00177BB2">
      <w:pPr>
        <w:spacing w:after="0" w:line="240" w:lineRule="auto"/>
      </w:pPr>
      <w:r>
        <w:separator/>
      </w:r>
    </w:p>
  </w:footnote>
  <w:footnote w:type="continuationSeparator" w:id="0">
    <w:p w:rsidR="00FD1805" w:rsidRDefault="00FD1805" w:rsidP="0017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1011"/>
      <w:docPartObj>
        <w:docPartGallery w:val="Page Numbers (Top of Page)"/>
        <w:docPartUnique/>
      </w:docPartObj>
    </w:sdtPr>
    <w:sdtEndPr/>
    <w:sdtContent>
      <w:p w:rsidR="00B725C2" w:rsidRDefault="004F61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5C2" w:rsidRDefault="00B725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1FE"/>
    <w:multiLevelType w:val="hybridMultilevel"/>
    <w:tmpl w:val="9B36F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C5C2878"/>
    <w:multiLevelType w:val="hybridMultilevel"/>
    <w:tmpl w:val="4256513E"/>
    <w:lvl w:ilvl="0" w:tplc="BCD028A8">
      <w:start w:val="1"/>
      <w:numFmt w:val="decimal"/>
      <w:lvlText w:val="%1."/>
      <w:lvlJc w:val="left"/>
      <w:pPr>
        <w:ind w:left="60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E3D3F0D"/>
    <w:multiLevelType w:val="hybridMultilevel"/>
    <w:tmpl w:val="4AA04ADC"/>
    <w:lvl w:ilvl="0" w:tplc="041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>
    <w:nsid w:val="684E3E14"/>
    <w:multiLevelType w:val="hybridMultilevel"/>
    <w:tmpl w:val="6D54B5B0"/>
    <w:lvl w:ilvl="0" w:tplc="96F6D0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68"/>
    <w:rsid w:val="00013A7E"/>
    <w:rsid w:val="0001628B"/>
    <w:rsid w:val="00023A92"/>
    <w:rsid w:val="0003096B"/>
    <w:rsid w:val="00046F8D"/>
    <w:rsid w:val="0006004E"/>
    <w:rsid w:val="00071CBE"/>
    <w:rsid w:val="00075A95"/>
    <w:rsid w:val="00077723"/>
    <w:rsid w:val="00081343"/>
    <w:rsid w:val="000916C1"/>
    <w:rsid w:val="000A41BA"/>
    <w:rsid w:val="000B1667"/>
    <w:rsid w:val="000B4CD9"/>
    <w:rsid w:val="000B5973"/>
    <w:rsid w:val="000E5836"/>
    <w:rsid w:val="000E6E1E"/>
    <w:rsid w:val="000E7CAE"/>
    <w:rsid w:val="00100D33"/>
    <w:rsid w:val="001057C8"/>
    <w:rsid w:val="0013377F"/>
    <w:rsid w:val="00145029"/>
    <w:rsid w:val="00146DDB"/>
    <w:rsid w:val="00166F68"/>
    <w:rsid w:val="00167799"/>
    <w:rsid w:val="00174B31"/>
    <w:rsid w:val="00177BB2"/>
    <w:rsid w:val="001A614A"/>
    <w:rsid w:val="001C6CF7"/>
    <w:rsid w:val="002116C7"/>
    <w:rsid w:val="002225B2"/>
    <w:rsid w:val="0022316D"/>
    <w:rsid w:val="00227481"/>
    <w:rsid w:val="0023060E"/>
    <w:rsid w:val="002436F5"/>
    <w:rsid w:val="00245E30"/>
    <w:rsid w:val="00245FA3"/>
    <w:rsid w:val="00252F22"/>
    <w:rsid w:val="0026513B"/>
    <w:rsid w:val="002A594A"/>
    <w:rsid w:val="002D6AC1"/>
    <w:rsid w:val="002E0CB2"/>
    <w:rsid w:val="002E2932"/>
    <w:rsid w:val="00313E4C"/>
    <w:rsid w:val="003150F7"/>
    <w:rsid w:val="003315EE"/>
    <w:rsid w:val="00332C4E"/>
    <w:rsid w:val="00344D46"/>
    <w:rsid w:val="003458D3"/>
    <w:rsid w:val="0035797C"/>
    <w:rsid w:val="003754DA"/>
    <w:rsid w:val="00393A1F"/>
    <w:rsid w:val="003955A8"/>
    <w:rsid w:val="003A2068"/>
    <w:rsid w:val="003A2E44"/>
    <w:rsid w:val="003A4233"/>
    <w:rsid w:val="003A7E9D"/>
    <w:rsid w:val="003F1CD7"/>
    <w:rsid w:val="004013ED"/>
    <w:rsid w:val="00401D03"/>
    <w:rsid w:val="004048DA"/>
    <w:rsid w:val="00406AB1"/>
    <w:rsid w:val="004106D2"/>
    <w:rsid w:val="0042437B"/>
    <w:rsid w:val="00425DB5"/>
    <w:rsid w:val="00427FA7"/>
    <w:rsid w:val="00444DE4"/>
    <w:rsid w:val="00452FBD"/>
    <w:rsid w:val="00455658"/>
    <w:rsid w:val="00461E0B"/>
    <w:rsid w:val="00462B9F"/>
    <w:rsid w:val="00465E0B"/>
    <w:rsid w:val="00482E55"/>
    <w:rsid w:val="004873F2"/>
    <w:rsid w:val="004A3230"/>
    <w:rsid w:val="004B1FA4"/>
    <w:rsid w:val="004F1D1B"/>
    <w:rsid w:val="004F2C45"/>
    <w:rsid w:val="004F617B"/>
    <w:rsid w:val="004F7A2D"/>
    <w:rsid w:val="005126B3"/>
    <w:rsid w:val="00533298"/>
    <w:rsid w:val="00540087"/>
    <w:rsid w:val="00542428"/>
    <w:rsid w:val="00546DD3"/>
    <w:rsid w:val="00552B91"/>
    <w:rsid w:val="00566095"/>
    <w:rsid w:val="00572430"/>
    <w:rsid w:val="005771D0"/>
    <w:rsid w:val="00581530"/>
    <w:rsid w:val="005C3456"/>
    <w:rsid w:val="005D44EE"/>
    <w:rsid w:val="005D4E2F"/>
    <w:rsid w:val="005E6A09"/>
    <w:rsid w:val="00627DCC"/>
    <w:rsid w:val="00627E0A"/>
    <w:rsid w:val="00627E52"/>
    <w:rsid w:val="00633B63"/>
    <w:rsid w:val="00640112"/>
    <w:rsid w:val="00646AE3"/>
    <w:rsid w:val="006618EC"/>
    <w:rsid w:val="00674ED7"/>
    <w:rsid w:val="006A196B"/>
    <w:rsid w:val="006A49F5"/>
    <w:rsid w:val="006A72ED"/>
    <w:rsid w:val="006B2F8A"/>
    <w:rsid w:val="006D1AA3"/>
    <w:rsid w:val="006D5411"/>
    <w:rsid w:val="006F1B5D"/>
    <w:rsid w:val="00701F4D"/>
    <w:rsid w:val="00707B83"/>
    <w:rsid w:val="00715760"/>
    <w:rsid w:val="00721AD9"/>
    <w:rsid w:val="00757326"/>
    <w:rsid w:val="00757FE1"/>
    <w:rsid w:val="0076565B"/>
    <w:rsid w:val="007744D3"/>
    <w:rsid w:val="00791BAE"/>
    <w:rsid w:val="007974BB"/>
    <w:rsid w:val="007B5BFD"/>
    <w:rsid w:val="007D4C56"/>
    <w:rsid w:val="007D5E03"/>
    <w:rsid w:val="007F15EE"/>
    <w:rsid w:val="007F3D9A"/>
    <w:rsid w:val="007F70D9"/>
    <w:rsid w:val="00801A33"/>
    <w:rsid w:val="00801A9A"/>
    <w:rsid w:val="00805B9A"/>
    <w:rsid w:val="0081015B"/>
    <w:rsid w:val="00814ADA"/>
    <w:rsid w:val="008230F0"/>
    <w:rsid w:val="00826521"/>
    <w:rsid w:val="00826C2E"/>
    <w:rsid w:val="00827756"/>
    <w:rsid w:val="00833A6E"/>
    <w:rsid w:val="008350D8"/>
    <w:rsid w:val="00835F15"/>
    <w:rsid w:val="00847AE8"/>
    <w:rsid w:val="00864601"/>
    <w:rsid w:val="008655B8"/>
    <w:rsid w:val="00875EE7"/>
    <w:rsid w:val="0088172B"/>
    <w:rsid w:val="00890CF0"/>
    <w:rsid w:val="008B3465"/>
    <w:rsid w:val="008C482D"/>
    <w:rsid w:val="008C63E3"/>
    <w:rsid w:val="008C7A5B"/>
    <w:rsid w:val="008E46E7"/>
    <w:rsid w:val="008F6205"/>
    <w:rsid w:val="009024F0"/>
    <w:rsid w:val="009037B8"/>
    <w:rsid w:val="0092157D"/>
    <w:rsid w:val="009234E8"/>
    <w:rsid w:val="0093676C"/>
    <w:rsid w:val="00946CF6"/>
    <w:rsid w:val="00950E9F"/>
    <w:rsid w:val="0095362C"/>
    <w:rsid w:val="009852CF"/>
    <w:rsid w:val="009C0CD6"/>
    <w:rsid w:val="009C4FEC"/>
    <w:rsid w:val="009D0127"/>
    <w:rsid w:val="009D5A61"/>
    <w:rsid w:val="009D78C1"/>
    <w:rsid w:val="009D7D91"/>
    <w:rsid w:val="009E3926"/>
    <w:rsid w:val="009F20A1"/>
    <w:rsid w:val="009F4F07"/>
    <w:rsid w:val="009F7C44"/>
    <w:rsid w:val="00A17CC9"/>
    <w:rsid w:val="00A36AC4"/>
    <w:rsid w:val="00A43D44"/>
    <w:rsid w:val="00A51518"/>
    <w:rsid w:val="00A552A9"/>
    <w:rsid w:val="00A6487C"/>
    <w:rsid w:val="00A84F78"/>
    <w:rsid w:val="00A85622"/>
    <w:rsid w:val="00A867CA"/>
    <w:rsid w:val="00A922ED"/>
    <w:rsid w:val="00A95D13"/>
    <w:rsid w:val="00AA2B61"/>
    <w:rsid w:val="00AB5455"/>
    <w:rsid w:val="00AC63F2"/>
    <w:rsid w:val="00AD31CF"/>
    <w:rsid w:val="00AD637F"/>
    <w:rsid w:val="00AD650A"/>
    <w:rsid w:val="00AE5DE8"/>
    <w:rsid w:val="00B00855"/>
    <w:rsid w:val="00B0785D"/>
    <w:rsid w:val="00B133CC"/>
    <w:rsid w:val="00B13ECE"/>
    <w:rsid w:val="00B27B54"/>
    <w:rsid w:val="00B3081B"/>
    <w:rsid w:val="00B3381E"/>
    <w:rsid w:val="00B36719"/>
    <w:rsid w:val="00B41B76"/>
    <w:rsid w:val="00B44EDE"/>
    <w:rsid w:val="00B45ED1"/>
    <w:rsid w:val="00B65229"/>
    <w:rsid w:val="00B725C2"/>
    <w:rsid w:val="00B72670"/>
    <w:rsid w:val="00BA213F"/>
    <w:rsid w:val="00BA2C4F"/>
    <w:rsid w:val="00BA5470"/>
    <w:rsid w:val="00BB04BB"/>
    <w:rsid w:val="00BB7AC2"/>
    <w:rsid w:val="00BC351B"/>
    <w:rsid w:val="00BD0573"/>
    <w:rsid w:val="00BE1F2E"/>
    <w:rsid w:val="00BE3B8E"/>
    <w:rsid w:val="00BF1C9A"/>
    <w:rsid w:val="00BF2B19"/>
    <w:rsid w:val="00BF5E6A"/>
    <w:rsid w:val="00C157F6"/>
    <w:rsid w:val="00C22A6F"/>
    <w:rsid w:val="00C37244"/>
    <w:rsid w:val="00C51DA5"/>
    <w:rsid w:val="00C738C9"/>
    <w:rsid w:val="00C854CC"/>
    <w:rsid w:val="00C8620F"/>
    <w:rsid w:val="00C90C74"/>
    <w:rsid w:val="00C9659F"/>
    <w:rsid w:val="00C97F43"/>
    <w:rsid w:val="00CA01BB"/>
    <w:rsid w:val="00CB68FA"/>
    <w:rsid w:val="00CC7766"/>
    <w:rsid w:val="00CE6B5C"/>
    <w:rsid w:val="00CF49F0"/>
    <w:rsid w:val="00CF4A30"/>
    <w:rsid w:val="00D11E8A"/>
    <w:rsid w:val="00D246BC"/>
    <w:rsid w:val="00D363E6"/>
    <w:rsid w:val="00D62CC8"/>
    <w:rsid w:val="00D67F6B"/>
    <w:rsid w:val="00D83B3F"/>
    <w:rsid w:val="00D95CA3"/>
    <w:rsid w:val="00D97A12"/>
    <w:rsid w:val="00DC060C"/>
    <w:rsid w:val="00DD0BEB"/>
    <w:rsid w:val="00DD290B"/>
    <w:rsid w:val="00DE2636"/>
    <w:rsid w:val="00DE3866"/>
    <w:rsid w:val="00DF157F"/>
    <w:rsid w:val="00E148FE"/>
    <w:rsid w:val="00E14D80"/>
    <w:rsid w:val="00E2105C"/>
    <w:rsid w:val="00E27632"/>
    <w:rsid w:val="00E46740"/>
    <w:rsid w:val="00E70C78"/>
    <w:rsid w:val="00E72FA5"/>
    <w:rsid w:val="00E838A4"/>
    <w:rsid w:val="00E87839"/>
    <w:rsid w:val="00E93F95"/>
    <w:rsid w:val="00E97863"/>
    <w:rsid w:val="00EA7729"/>
    <w:rsid w:val="00EC0D13"/>
    <w:rsid w:val="00EC4AF0"/>
    <w:rsid w:val="00F11CA0"/>
    <w:rsid w:val="00F16D8B"/>
    <w:rsid w:val="00F172DD"/>
    <w:rsid w:val="00F231AA"/>
    <w:rsid w:val="00F24A0F"/>
    <w:rsid w:val="00F4263E"/>
    <w:rsid w:val="00F57A63"/>
    <w:rsid w:val="00F62730"/>
    <w:rsid w:val="00F74282"/>
    <w:rsid w:val="00F76481"/>
    <w:rsid w:val="00F808AC"/>
    <w:rsid w:val="00F80B0B"/>
    <w:rsid w:val="00F8184D"/>
    <w:rsid w:val="00F92B92"/>
    <w:rsid w:val="00F94385"/>
    <w:rsid w:val="00FA5CA7"/>
    <w:rsid w:val="00FA72B4"/>
    <w:rsid w:val="00FD1805"/>
    <w:rsid w:val="00FD1971"/>
    <w:rsid w:val="00FD7BC6"/>
    <w:rsid w:val="00FE0AB9"/>
    <w:rsid w:val="00F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paragraph" w:styleId="1">
    <w:name w:val="heading 1"/>
    <w:basedOn w:val="a"/>
    <w:next w:val="a"/>
    <w:link w:val="10"/>
    <w:uiPriority w:val="99"/>
    <w:qFormat/>
    <w:rsid w:val="00AD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875EE7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A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545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D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5CA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5CA7"/>
    <w:rPr>
      <w:color w:val="106BBE"/>
    </w:rPr>
  </w:style>
  <w:style w:type="paragraph" w:styleId="a8">
    <w:name w:val="Body Text"/>
    <w:basedOn w:val="a"/>
    <w:link w:val="a9"/>
    <w:unhideWhenUsed/>
    <w:rsid w:val="00FA5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A5C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7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7BB2"/>
  </w:style>
  <w:style w:type="paragraph" w:styleId="ac">
    <w:name w:val="footer"/>
    <w:basedOn w:val="a"/>
    <w:link w:val="ad"/>
    <w:uiPriority w:val="99"/>
    <w:semiHidden/>
    <w:unhideWhenUsed/>
    <w:rsid w:val="00177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7BB2"/>
  </w:style>
  <w:style w:type="paragraph" w:styleId="ae">
    <w:name w:val="Balloon Text"/>
    <w:basedOn w:val="a"/>
    <w:link w:val="af"/>
    <w:uiPriority w:val="99"/>
    <w:semiHidden/>
    <w:unhideWhenUsed/>
    <w:rsid w:val="00AC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AE"/>
    <w:pPr>
      <w:ind w:left="720"/>
      <w:contextualSpacing/>
    </w:pPr>
  </w:style>
  <w:style w:type="paragraph" w:customStyle="1" w:styleId="11">
    <w:name w:val="Абзац списка1"/>
    <w:basedOn w:val="a"/>
    <w:rsid w:val="002E293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77A6-331C-4FF0-8378-F6AD65B3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154</cp:revision>
  <cp:lastPrinted>2016-02-24T05:30:00Z</cp:lastPrinted>
  <dcterms:created xsi:type="dcterms:W3CDTF">2015-01-21T10:18:00Z</dcterms:created>
  <dcterms:modified xsi:type="dcterms:W3CDTF">2016-02-25T12:16:00Z</dcterms:modified>
</cp:coreProperties>
</file>